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4E921">
      <w:pPr>
        <w:spacing w:before="156" w:beforeLines="50" w:after="156" w:afterLines="50" w:line="720" w:lineRule="exact"/>
        <w:jc w:val="center"/>
        <w:rPr>
          <w:rFonts w:ascii="仿宋_GB2312" w:hAnsi="仿宋_GB2312" w:eastAsia="仿宋_GB2312" w:cs="仿宋_GB2312"/>
          <w:b/>
          <w:color w:val="auto"/>
          <w:sz w:val="40"/>
          <w:szCs w:val="40"/>
        </w:rPr>
      </w:pPr>
      <w:bookmarkStart w:id="0" w:name="_GoBack"/>
      <w:r>
        <w:rPr>
          <w:rFonts w:hint="eastAsia" w:ascii="仿宋_GB2312" w:hAnsi="仿宋_GB2312" w:eastAsia="仿宋_GB2312" w:cs="仿宋_GB2312"/>
          <w:b/>
          <w:color w:val="auto"/>
          <w:sz w:val="40"/>
          <w:szCs w:val="40"/>
        </w:rPr>
        <w:t>委托加工生产水泥业务合同</w:t>
      </w:r>
    </w:p>
    <w:p w14:paraId="4CD16BAA">
      <w:pPr>
        <w:spacing w:line="600" w:lineRule="exact"/>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受托方（甲方）:福建省宁德建福建材有限公司</w:t>
      </w:r>
    </w:p>
    <w:p w14:paraId="290ADE63">
      <w:pPr>
        <w:spacing w:line="600" w:lineRule="exact"/>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委托方（乙方）:</w:t>
      </w:r>
    </w:p>
    <w:p w14:paraId="1ECD6F79">
      <w:pPr>
        <w:spacing w:line="600" w:lineRule="exact"/>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签订地点: 福建省福安市</w:t>
      </w:r>
    </w:p>
    <w:p w14:paraId="2F74FE4B">
      <w:pPr>
        <w:spacing w:line="600" w:lineRule="exact"/>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签订时间: 2025年月日</w:t>
      </w:r>
    </w:p>
    <w:p w14:paraId="779CC3A0">
      <w:pPr>
        <w:spacing w:line="48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甲、乙双方本着平等互惠、诚实信用的原则，依据《中华人民共和国民法典》等相关法律法规，就乙方委托</w:t>
      </w:r>
      <w:r>
        <w:rPr>
          <w:rFonts w:hint="eastAsia" w:ascii="仿宋_GB2312" w:hAnsi="仿宋_GB2312" w:eastAsia="仿宋_GB2312" w:cs="仿宋_GB2312"/>
          <w:bCs/>
          <w:color w:val="auto"/>
          <w:sz w:val="28"/>
          <w:szCs w:val="28"/>
        </w:rPr>
        <w:t>甲方加工生产水泥产品业务，乙方向甲方支付委托加工费相关合作</w:t>
      </w:r>
      <w:r>
        <w:rPr>
          <w:rFonts w:hint="eastAsia" w:ascii="仿宋_GB2312" w:hAnsi="仿宋_GB2312" w:eastAsia="仿宋_GB2312" w:cs="仿宋_GB2312"/>
          <w:color w:val="auto"/>
          <w:sz w:val="28"/>
          <w:szCs w:val="28"/>
        </w:rPr>
        <w:t>事宜，经双方协商一致，签订本合同。</w:t>
      </w:r>
    </w:p>
    <w:p w14:paraId="15D6F06D">
      <w:pPr>
        <w:spacing w:line="480" w:lineRule="exact"/>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一、合作方式</w:t>
      </w:r>
    </w:p>
    <w:p w14:paraId="4693BDF7">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（一）甲方以来料加工的形式接受乙方委托，为乙方加工生产《生产许可证》范围内的符合国家标准和乙方质量要求的水泥产品。</w:t>
      </w:r>
    </w:p>
    <w:p w14:paraId="4902ECF8">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（二）乙方自行采购加工生产水泥或其他产品所需的符合国家相关质量标准要求的生产物料及包装物，并运送至甲方的生产场地堆储。</w:t>
      </w:r>
    </w:p>
    <w:p w14:paraId="0582D96B">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（三）甲方的加工生产水泥过程自物料、包装物等的进厂计量、进料作业至产成品包装（或散装）出库装车及计量出厂。</w:t>
      </w:r>
    </w:p>
    <w:p w14:paraId="7A03167E">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物料及产品进出厂的物流由乙方自行承担；进厂物料数量以甲方地磅计量为准；进厂物料的质量指标、水分含量等必须符合甲方质量控制部门的相关质量技术指标要求、包装物必须符合相关规定，所有进厂物资需经甲方验收合格并经双方确认；物料水分以质量控制部门的检测检验数据为准；加工生产过程的物料损耗按干基物料计算，不得超过1%。甲方现有库存的原材料、成品，以交接日甲乙双方派出人员的盘点数据为准，按甲方进价（以发票为准）计算，交接后一个月内乙方将货款支付给甲方。</w:t>
      </w:r>
    </w:p>
    <w:p w14:paraId="2975DAF7">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（五）乙方不得以甲方的名义或利用甲方名称、商标、信誉等进行对外宣传或从事经营等活动；不得有任何涉及甲方品牌价值的侵权行为。</w:t>
      </w:r>
    </w:p>
    <w:p w14:paraId="4AAB807B">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产品质量、标识、标注和许可证使用，按照国家《产品质量法》和《工业产品生产许可证管理条例实施办法》等有关规定执行；产品标注的要求应当符合相关法律法规的具体规定；标注方案及商标使用许可乙方需向当地市场监督管理部门申请备案。</w:t>
      </w:r>
    </w:p>
    <w:p w14:paraId="4FDF92DE">
      <w:pPr>
        <w:spacing w:line="480" w:lineRule="exact"/>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二、合作期限</w:t>
      </w:r>
    </w:p>
    <w:p w14:paraId="1B8B68A7">
      <w:pPr>
        <w:spacing w:line="480" w:lineRule="exact"/>
        <w:ind w:left="559" w:leftChars="266"/>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委托加工业务的合作期限五年，</w:t>
      </w:r>
      <w:r>
        <w:rPr>
          <w:rFonts w:hint="eastAsia" w:ascii="仿宋_GB2312" w:hAnsi="仿宋_GB2312" w:eastAsia="仿宋_GB2312" w:cs="仿宋_GB2312"/>
          <w:color w:val="auto"/>
          <w:sz w:val="28"/>
          <w:szCs w:val="28"/>
        </w:rPr>
        <w:t>自2025年 月 日至2030年 月 日止。</w:t>
      </w:r>
    </w:p>
    <w:p w14:paraId="1AE9024F">
      <w:pPr>
        <w:spacing w:line="480" w:lineRule="exact"/>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三、委托加工费的计算及结算支付方式</w:t>
      </w:r>
    </w:p>
    <w:p w14:paraId="0878CD50">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（一）委托加工费的构成和计算</w:t>
      </w:r>
    </w:p>
    <w:p w14:paraId="55D10716">
      <w:pPr>
        <w:spacing w:line="48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委托加工费分为保底加工费和超产加工费两部分相加构成：</w:t>
      </w:r>
    </w:p>
    <w:p w14:paraId="5D28FA33">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1.保底加工费（包含甲方收益、生产过程成本及相关税费）万元/年或保底价元/吨（对应年保底水泥生产量40万吨，不足40万吨时视同40万吨）。</w:t>
      </w:r>
    </w:p>
    <w:p w14:paraId="52E7AF9D">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超产加工费按水泥生产量分档计算收取：年产水泥生产量超过40万吨时，40万吨-70万吨部分，加工费为（保底价-2）元/吨；年产水泥生产量70万吨-100万吨部分，加工费为（保底价-4）元/吨；年产水泥生产量100万吨以上部分，加工费为（保底价-6）元/吨。</w:t>
      </w:r>
    </w:p>
    <w:p w14:paraId="3133696E">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3.水泥生产量以水泥出厂地磅计量数为准，乙方每月3日前，将上月水泥各品种产量报表由甲方驻厂负责人签字确认后，双方据此计算加工费。</w:t>
      </w:r>
    </w:p>
    <w:p w14:paraId="5DD9DB9D">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（二）加工费支付期限</w:t>
      </w:r>
    </w:p>
    <w:p w14:paraId="43B437E7">
      <w:pPr>
        <w:spacing w:line="480" w:lineRule="exact"/>
        <w:ind w:left="838" w:leftChars="39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加工费执行每月预收，年终总结算，多还少补。每月保底加工费按月平均计算收</w:t>
      </w:r>
      <w:r>
        <w:rPr>
          <w:rFonts w:hint="eastAsia" w:ascii="仿宋_GB2312" w:hAnsi="仿宋_GB2312" w:eastAsia="仿宋_GB2312" w:cs="仿宋_GB2312"/>
          <w:color w:val="auto"/>
          <w:sz w:val="28"/>
          <w:szCs w:val="28"/>
        </w:rPr>
        <w:t xml:space="preserve">取 </w:t>
      </w:r>
      <w:r>
        <w:rPr>
          <w:rFonts w:hint="eastAsia" w:ascii="仿宋_GB2312" w:hAnsi="仿宋_GB2312" w:eastAsia="仿宋_GB2312" w:cs="仿宋_GB2312"/>
          <w:color w:val="auto"/>
          <w:sz w:val="28"/>
          <w:szCs w:val="28"/>
          <w:u w:val="single"/>
        </w:rPr>
        <w:t xml:space="preserve">【万元/月】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rPr>
        <w:t>年累计水泥产量超过40万吨以后，超产加工费按月实际生产量预收（统一按（保底价-2）元/吨计算）。加工费每月支付一次，每月支付时间为5日前。甲方开具加工费发票给乙方。</w:t>
      </w:r>
    </w:p>
    <w:p w14:paraId="6CB337D3">
      <w:pPr>
        <w:spacing w:line="480" w:lineRule="exact"/>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四、双方的权利和义务</w:t>
      </w:r>
    </w:p>
    <w:p w14:paraId="05965E2C">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(一)甲方的权利和义务</w:t>
      </w:r>
    </w:p>
    <w:p w14:paraId="72226EE3">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1.甲方应按合同约定为乙方加工生产水泥，有权按本合同约定向乙方收缴委托加工费和要求乙方履行其它约定事项。</w:t>
      </w:r>
    </w:p>
    <w:p w14:paraId="37DAB5BE">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2.当出现乙方确实无力履行本合同或乙方严重违反本合同约定时，甲方有权单方解除合同，并要求乙方承担违约责任。</w:t>
      </w:r>
    </w:p>
    <w:p w14:paraId="4C92605E">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3.当发生因政府建设需要工厂搬迁、土地被收储和</w:t>
      </w:r>
      <w:r>
        <w:rPr>
          <w:rFonts w:hint="eastAsia" w:ascii="仿宋_GB2312" w:hAnsi="仿宋_GB2312" w:eastAsia="仿宋_GB2312" w:cs="仿宋_GB2312"/>
          <w:color w:val="auto"/>
          <w:sz w:val="28"/>
          <w:szCs w:val="28"/>
        </w:rPr>
        <w:t>企业改制重组等情形时，</w:t>
      </w:r>
      <w:r>
        <w:rPr>
          <w:rFonts w:hint="eastAsia" w:ascii="仿宋_GB2312" w:hAnsi="仿宋_GB2312" w:eastAsia="仿宋_GB2312" w:cs="仿宋_GB2312"/>
          <w:color w:val="auto"/>
          <w:sz w:val="28"/>
          <w:szCs w:val="28"/>
        </w:rPr>
        <w:t>导致合同无法继续履行的，甲方有权提前终止本合同，且不承担违约责任，甲方应当提前两个月将终止合同的事由通知乙方。</w:t>
      </w:r>
    </w:p>
    <w:p w14:paraId="5F1E8916">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4.由于甲方原因引起的政府、甲方股东或周边关系，造成为乙方加工生产受影响的，应积极协调解决，确实造成影响乙方经营每次超过10天以上，经双方书面确认后，甲方相应延长为乙方加工生产水泥相应时间。</w:t>
      </w:r>
    </w:p>
    <w:p w14:paraId="654917C7">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(二)乙方的权利和义务</w:t>
      </w:r>
    </w:p>
    <w:p w14:paraId="18EFEAC1">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1.乙方应及时提供加工生产水泥或其他产品所需的物料，并保证物料符合国家相关质量标准和产品生产所需的质量要求。</w:t>
      </w:r>
    </w:p>
    <w:p w14:paraId="410A901D">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2.乙方有权依照本合同约定要求甲方及时加工生产合格的水泥产品，确保乙方的正常发货需要。</w:t>
      </w:r>
    </w:p>
    <w:p w14:paraId="015F7620">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3.委托加工业务合作期间，乙方派驻人员应服从甲方的管理，及时配合甲方共同核实确认月报表水泥产量及结算，并督促乙方按时向甲方支付委托加工费。</w:t>
      </w:r>
    </w:p>
    <w:p w14:paraId="7AA8033B">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4.乙方指定（姓名：）为项目负责人，全权代表乙方签署履行本合同事项的相关文件以及各类计划、报表等的确认。乙方应确保项目负责人常驻在甲方，若有变更，应提前以书面方式通知甲方。</w:t>
      </w:r>
    </w:p>
    <w:p w14:paraId="6EBBB109">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乙方郑重承诺：对《水泥生产劳务承包合同》的承包方与甲方履行的合同义务承担连带责任。《水泥生产劳务承包合同》的承包方对甲方的违约行为应视同乙方作出，乙方应承担由此产生的违约责任和不利后果。</w:t>
      </w:r>
    </w:p>
    <w:p w14:paraId="7395BB55">
      <w:pPr>
        <w:spacing w:line="480" w:lineRule="exact"/>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五、其他约定</w:t>
      </w:r>
    </w:p>
    <w:p w14:paraId="3D814A4B">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乙方委托需要加工产品的数量、品种、执行标准由乙方以月生产计划的形式书面通知甲方，甲方根据生产能力和生产库存情况，并在乙方提供的生产物资材料符合要求的情况下，按双方代表签字认可的月生产计划组织生产。乙方月生产计划应提前3个工作日通知甲方，月生产计划应在每月1日前由双方签字确认。甲、乙双方应加强日常沟通协调，甲方有权根据原材料库存、生产库存以及产品出厂情况等对生产计划作合理调整。</w:t>
      </w:r>
    </w:p>
    <w:p w14:paraId="6F92E00C">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（二）乙方若向甲方关联公司生产基地采购熟料，同等价格、同等质量的情况下甲方应优先供应。</w:t>
      </w:r>
    </w:p>
    <w:p w14:paraId="35FF7907">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在加工生产水泥业务合作期间，甲方生产许可证和排污许可证续证，乙方应积极配合办理并负责提供相应材料；若由于甲方原因造成续证延期，则相应延长合作期限；若由于甲方自身原因无法续证的，甲方将之前的收益（扣除发生的成本税费）和履约保证金退还乙方，本合同终止；若由于乙方原因造成无法续证或生产许可证被吊销的，乙方应赔偿甲方全部损失。</w:t>
      </w:r>
    </w:p>
    <w:p w14:paraId="674739F8">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（四）加工生产水泥业务合作期内，乙方若需以甲方名义办理资源综合利用退税优惠政策，甲方积极配合，产生的退税扣除甲方必要的税费后返还给乙方。</w:t>
      </w:r>
    </w:p>
    <w:p w14:paraId="5703CF0C">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（五）本合同终止时，乙方剩余物料在100万元以内的部分，经双方协商认可、可按不高于市场的价格，让售给甲方；超出100万元部分，在合同终止10日内，由乙方自行处置。</w:t>
      </w:r>
    </w:p>
    <w:p w14:paraId="6DB7AB8C">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（六）本合同解除或终止时，乙方应确保在10天内完成清场，自行处置甲方场地内的物资（本合同另有约定除外），否则甲方有权自行任意处置，其损失由乙方承担。</w:t>
      </w:r>
    </w:p>
    <w:p w14:paraId="195599C2">
      <w:pPr>
        <w:spacing w:line="480" w:lineRule="exact"/>
        <w:ind w:left="840" w:hanging="840" w:hangingChars="300"/>
        <w:rPr>
          <w:rFonts w:ascii="仿宋_GB2312" w:hAnsi="仿宋_GB2312" w:eastAsia="仿宋_GB2312" w:cs="仿宋_GB2312"/>
          <w:b/>
          <w:bCs/>
          <w:color w:val="auto"/>
          <w:sz w:val="28"/>
          <w:szCs w:val="28"/>
        </w:rPr>
      </w:pPr>
      <w:r>
        <w:rPr>
          <w:rFonts w:hint="eastAsia" w:ascii="仿宋_GB2312" w:hAnsi="仿宋_GB2312" w:eastAsia="仿宋_GB2312" w:cs="仿宋_GB2312"/>
          <w:color w:val="auto"/>
          <w:sz w:val="28"/>
          <w:szCs w:val="28"/>
        </w:rPr>
        <w:t>（七）乙方确认：其已充分知悉合作标的在规划许可、施工许可、环保、消防、安全及竣工验收等方面的特定情况。乙方基于此知情状态，自愿接受该等特定情况可能带来的全部风险。因该等特定情况直接或间接导致的任何行政责任、行政处罚、经济损失及相关费用，均由乙方承担。此等责任承担系乙方基于商业判断的自愿行为，不视为甲方违约，且不免除乙方在本合同项下的其他义务。</w:t>
      </w:r>
    </w:p>
    <w:p w14:paraId="7528C6B4">
      <w:pPr>
        <w:spacing w:line="480" w:lineRule="exact"/>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六、履约担保</w:t>
      </w:r>
    </w:p>
    <w:p w14:paraId="42123CCA">
      <w:pPr>
        <w:spacing w:line="48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乙方提供人民币400万元作为本合同履约保证金，在本合同签订后3日内以现金方式汇入甲方指定的账户（开户名称：福建省宁德建福建材有限公司，开户银行：中国银行福安支行，开户账号：4182 6214 2891）。若乙方违约，甲方有权将赔偿金、违约金在履约保证金中扣除，扣除后履约保证金不足400万元的部分，乙方应在7日内补足。合同期满，乙方无违约情形的，甲方将保证金于30日内不计息退回给乙方。</w:t>
      </w:r>
    </w:p>
    <w:p w14:paraId="40518C34">
      <w:pPr>
        <w:spacing w:line="480" w:lineRule="exact"/>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七、违约责任</w:t>
      </w:r>
    </w:p>
    <w:p w14:paraId="300D15FA">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（一）乙方未按合同约定及时支付委托加工费，按拖欠金额的日万分之五向甲方支付滞纳金。</w:t>
      </w:r>
    </w:p>
    <w:p w14:paraId="284FF18C">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（二）乙方存在以下违约情形之一的，甲方有权单方解除本合同，没收乙方履约保证金400万元，并由乙方承担因此给甲方造成的损失。</w:t>
      </w:r>
    </w:p>
    <w:p w14:paraId="1023B5E4">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1.乙方违反本合同相关规定，且拒不执行（或在合理期限内未完成）甲方整改要求的；</w:t>
      </w:r>
    </w:p>
    <w:p w14:paraId="7C2BF049">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2.乙方拖欠委托加工费、赔偿金、违约金等和履约保证金的，应付而未付金额合计达到100万元以上的。</w:t>
      </w:r>
    </w:p>
    <w:p w14:paraId="1CD51181">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3.加工生产业务合作期间，除本合同另有约定外，甲、乙双方任意一方提前解除合同，需向另一方支付解除合同赔偿金400万元。</w:t>
      </w:r>
    </w:p>
    <w:p w14:paraId="0D835D40">
      <w:pPr>
        <w:spacing w:line="480" w:lineRule="exact"/>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八、不可抗力</w:t>
      </w:r>
    </w:p>
    <w:p w14:paraId="68B84663">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（一）发生不可抗力事件时，受阻方应在不可抗力发生时10日内通知另一方。</w:t>
      </w:r>
    </w:p>
    <w:p w14:paraId="4CBD6EC4">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（二）加工生产期间，如发生不可抗力导致本合同无法继续履行，甲乙双方应当及时采取有效措施避免损失扩大，在取得甲乙双方认可的权威机构出具的相关证明后，双方互不追究违约责任。</w:t>
      </w:r>
    </w:p>
    <w:p w14:paraId="3422031D">
      <w:pPr>
        <w:spacing w:line="480" w:lineRule="exact"/>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九、合同生效、变更及终止</w:t>
      </w:r>
    </w:p>
    <w:p w14:paraId="4560EDD3">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（一）本合同自甲乙双方签字盖章之日起生效，与之关联的《水泥生产劳务承包合同》同时签字盖章生效；若本合同解除或终止，则与之关联的《水泥生产劳务承包合同》自行解除或终止。</w:t>
      </w:r>
    </w:p>
    <w:p w14:paraId="267D9581">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（二）本合同执行过程中，遇有客观情况发生变化，一方认为有必要对本合同进行修改或变更且另一方认为合理可行时，双方可在协商一致的基础上以书面形式对本协议进行修改或变更。</w:t>
      </w:r>
    </w:p>
    <w:p w14:paraId="06F5D169">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（三）本合同到期后，若甲方有意续展，乙方在同等条件下，具有优先权，若双方不再续展，则本合同终止。</w:t>
      </w:r>
    </w:p>
    <w:p w14:paraId="010B9B75">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（四）由于下列原因，造成加工生产水泥业务合同不能继续履行，则本合同终止，双方均不承担违约责任：</w:t>
      </w:r>
    </w:p>
    <w:p w14:paraId="7F644DDE">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1.城市建设规划或城市更新改造需要拆迁或土地收储；</w:t>
      </w:r>
    </w:p>
    <w:p w14:paraId="1AE11E6D">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2.法律、法规、政策调整，或生产许可证、排污许可证到期无法续证的，或发生不可抗力；</w:t>
      </w:r>
    </w:p>
    <w:p w14:paraId="1BCF6E9C">
      <w:pPr>
        <w:spacing w:line="480" w:lineRule="exact"/>
        <w:ind w:left="839" w:leftChars="266" w:hanging="280" w:hanging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rPr>
        <w:t>甲方企业改制、分立</w:t>
      </w:r>
      <w:r>
        <w:rPr>
          <w:rFonts w:hint="eastAsia" w:ascii="仿宋_GB2312" w:hAnsi="仿宋_GB2312" w:eastAsia="仿宋_GB2312" w:cs="仿宋_GB2312"/>
          <w:color w:val="auto"/>
          <w:sz w:val="28"/>
          <w:szCs w:val="28"/>
        </w:rPr>
        <w:t>、合并、重组、产权转让、资产转让等，导致本合同无法继续履行的。</w:t>
      </w:r>
    </w:p>
    <w:p w14:paraId="424A3718">
      <w:pPr>
        <w:spacing w:line="480" w:lineRule="exact"/>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十、通知和送达</w:t>
      </w:r>
    </w:p>
    <w:p w14:paraId="7B03088D">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本合同约定必须发出的任何书面文件或通知，应以专递或者电子邮件形式发出，送至本合同之首页所列各方的通讯地址或邮箱；如采用电子邮箱方式，发送成功即视为送达和收到之日；如采用专递方式，专递人员将上述文件或通知送达收件人地址之日，即视为送达和收到之日。</w:t>
      </w:r>
    </w:p>
    <w:p w14:paraId="207D9C35">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（二）如果联系方式之任何一项发生变更，相关方应在变更后5日内将更改后的联系方式按本条的约定书面通知对方。若一方怠于履行通知义务，将承担送达不能的法律后果。</w:t>
      </w:r>
    </w:p>
    <w:p w14:paraId="610DAF76">
      <w:pPr>
        <w:spacing w:line="480" w:lineRule="exact"/>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十一、其它事项</w:t>
      </w:r>
    </w:p>
    <w:p w14:paraId="6A830E85">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（一）一方依据本合同约定或法律法规提前解除合同的，解除合同通知自文件送达之日起生效。</w:t>
      </w:r>
    </w:p>
    <w:p w14:paraId="4A90029C">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（二）本合同未尽事宜由双方共同协商解决，经双方协商一致签订的补充合同及附件与本合同具同等效力。</w:t>
      </w:r>
    </w:p>
    <w:p w14:paraId="3B93F103">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（三）合同履行存在争议的，由甲方双方协商解决。协商不成的，向厦门仲裁委员会提请仲裁。</w:t>
      </w:r>
    </w:p>
    <w:p w14:paraId="4D1038DC">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（四）本合同与《水泥生产劳务承包合同》互为关联及互相保证合同。</w:t>
      </w:r>
    </w:p>
    <w:p w14:paraId="20CBB62E">
      <w:pPr>
        <w:spacing w:line="480" w:lineRule="exact"/>
        <w:ind w:left="840" w:hanging="840" w:hangingChars="3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（五）本合同壹式陆份，甲乙双方各执叁份。</w:t>
      </w:r>
    </w:p>
    <w:tbl>
      <w:tblPr>
        <w:tblStyle w:val="4"/>
        <w:tblpPr w:leftFromText="180" w:rightFromText="180" w:vertAnchor="page" w:horzAnchor="page" w:tblpX="1915" w:tblpY="3331"/>
        <w:tblW w:w="8715" w:type="dxa"/>
        <w:tblInd w:w="0" w:type="dxa"/>
        <w:tblLayout w:type="autofit"/>
        <w:tblCellMar>
          <w:top w:w="0" w:type="dxa"/>
          <w:left w:w="108" w:type="dxa"/>
          <w:bottom w:w="0" w:type="dxa"/>
          <w:right w:w="108" w:type="dxa"/>
        </w:tblCellMar>
      </w:tblPr>
      <w:tblGrid>
        <w:gridCol w:w="4357"/>
        <w:gridCol w:w="4358"/>
      </w:tblGrid>
      <w:tr w14:paraId="3B2302CD">
        <w:tblPrEx>
          <w:tblCellMar>
            <w:top w:w="0" w:type="dxa"/>
            <w:left w:w="108" w:type="dxa"/>
            <w:bottom w:w="0" w:type="dxa"/>
            <w:right w:w="108" w:type="dxa"/>
          </w:tblCellMar>
        </w:tblPrEx>
        <w:trPr>
          <w:trHeight w:val="573" w:hRule="atLeast"/>
        </w:trPr>
        <w:tc>
          <w:tcPr>
            <w:tcW w:w="4357" w:type="dxa"/>
          </w:tcPr>
          <w:p w14:paraId="2C53425E">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受 托 方：</w:t>
            </w:r>
          </w:p>
          <w:p w14:paraId="634FDC2D">
            <w:pPr>
              <w:ind w:firstLine="280" w:firstLineChars="1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福建省宁德建福建材有限公司</w:t>
            </w:r>
          </w:p>
        </w:tc>
        <w:tc>
          <w:tcPr>
            <w:tcW w:w="4358" w:type="dxa"/>
          </w:tcPr>
          <w:p w14:paraId="70A3F120">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 托 方：</w:t>
            </w:r>
          </w:p>
          <w:p w14:paraId="500557C7">
            <w:pPr>
              <w:rPr>
                <w:rFonts w:ascii="仿宋_GB2312" w:hAnsi="仿宋_GB2312" w:eastAsia="仿宋_GB2312" w:cs="仿宋_GB2312"/>
                <w:color w:val="auto"/>
                <w:sz w:val="28"/>
                <w:szCs w:val="28"/>
              </w:rPr>
            </w:pPr>
          </w:p>
        </w:tc>
      </w:tr>
      <w:tr w14:paraId="0E8FBA94">
        <w:tblPrEx>
          <w:tblCellMar>
            <w:top w:w="0" w:type="dxa"/>
            <w:left w:w="108" w:type="dxa"/>
            <w:bottom w:w="0" w:type="dxa"/>
            <w:right w:w="108" w:type="dxa"/>
          </w:tblCellMar>
        </w:tblPrEx>
        <w:trPr>
          <w:trHeight w:val="510" w:hRule="atLeast"/>
        </w:trPr>
        <w:tc>
          <w:tcPr>
            <w:tcW w:w="4357" w:type="dxa"/>
            <w:vAlign w:val="center"/>
          </w:tcPr>
          <w:p w14:paraId="44F8A634">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法定代表人：李日亮</w:t>
            </w:r>
          </w:p>
        </w:tc>
        <w:tc>
          <w:tcPr>
            <w:tcW w:w="4358" w:type="dxa"/>
            <w:vAlign w:val="center"/>
          </w:tcPr>
          <w:p w14:paraId="7C6AB52E">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tc>
      </w:tr>
      <w:tr w14:paraId="3584FD86">
        <w:tblPrEx>
          <w:tblCellMar>
            <w:top w:w="0" w:type="dxa"/>
            <w:left w:w="108" w:type="dxa"/>
            <w:bottom w:w="0" w:type="dxa"/>
            <w:right w:w="108" w:type="dxa"/>
          </w:tblCellMar>
        </w:tblPrEx>
        <w:trPr>
          <w:trHeight w:val="510" w:hRule="atLeast"/>
        </w:trPr>
        <w:tc>
          <w:tcPr>
            <w:tcW w:w="4357" w:type="dxa"/>
            <w:vAlign w:val="center"/>
          </w:tcPr>
          <w:p w14:paraId="6FD14187">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联系人：</w:t>
            </w:r>
          </w:p>
        </w:tc>
        <w:tc>
          <w:tcPr>
            <w:tcW w:w="4358" w:type="dxa"/>
            <w:vAlign w:val="center"/>
          </w:tcPr>
          <w:p w14:paraId="6DED0AD3">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联系人：</w:t>
            </w:r>
          </w:p>
        </w:tc>
      </w:tr>
      <w:tr w14:paraId="5FE09D08">
        <w:tblPrEx>
          <w:tblCellMar>
            <w:top w:w="0" w:type="dxa"/>
            <w:left w:w="108" w:type="dxa"/>
            <w:bottom w:w="0" w:type="dxa"/>
            <w:right w:w="108" w:type="dxa"/>
          </w:tblCellMar>
        </w:tblPrEx>
        <w:trPr>
          <w:trHeight w:val="510" w:hRule="atLeast"/>
        </w:trPr>
        <w:tc>
          <w:tcPr>
            <w:tcW w:w="4357" w:type="dxa"/>
            <w:vAlign w:val="center"/>
          </w:tcPr>
          <w:p w14:paraId="026AEF29">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邮  箱：</w:t>
            </w:r>
          </w:p>
        </w:tc>
        <w:tc>
          <w:tcPr>
            <w:tcW w:w="4358" w:type="dxa"/>
            <w:vAlign w:val="center"/>
          </w:tcPr>
          <w:p w14:paraId="5FC10369">
            <w:pPr>
              <w:spacing w:before="100" w:beforeAutospacing="1" w:after="100" w:afterAutospacing="1" w:line="300" w:lineRule="atLeas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邮  箱：</w:t>
            </w:r>
          </w:p>
        </w:tc>
      </w:tr>
      <w:tr w14:paraId="247E9932">
        <w:tblPrEx>
          <w:tblCellMar>
            <w:top w:w="0" w:type="dxa"/>
            <w:left w:w="108" w:type="dxa"/>
            <w:bottom w:w="0" w:type="dxa"/>
            <w:right w:w="108" w:type="dxa"/>
          </w:tblCellMar>
        </w:tblPrEx>
        <w:trPr>
          <w:trHeight w:val="510" w:hRule="atLeast"/>
        </w:trPr>
        <w:tc>
          <w:tcPr>
            <w:tcW w:w="4357" w:type="dxa"/>
            <w:vAlign w:val="center"/>
          </w:tcPr>
          <w:p w14:paraId="5C0556BB">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联系电话：0593-6651766</w:t>
            </w:r>
          </w:p>
        </w:tc>
        <w:tc>
          <w:tcPr>
            <w:tcW w:w="4358" w:type="dxa"/>
            <w:vAlign w:val="center"/>
          </w:tcPr>
          <w:p w14:paraId="1C9A7623">
            <w:pPr>
              <w:spacing w:before="100" w:beforeAutospacing="1" w:after="100" w:afterAutospacing="1" w:line="300" w:lineRule="atLeas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sz w:val="28"/>
                <w:szCs w:val="28"/>
              </w:rPr>
              <w:t>联系电话：</w:t>
            </w:r>
          </w:p>
        </w:tc>
      </w:tr>
      <w:tr w14:paraId="7B757B5A">
        <w:tblPrEx>
          <w:tblCellMar>
            <w:top w:w="0" w:type="dxa"/>
            <w:left w:w="108" w:type="dxa"/>
            <w:bottom w:w="0" w:type="dxa"/>
            <w:right w:w="108" w:type="dxa"/>
          </w:tblCellMar>
        </w:tblPrEx>
        <w:trPr>
          <w:trHeight w:val="510" w:hRule="atLeast"/>
        </w:trPr>
        <w:tc>
          <w:tcPr>
            <w:tcW w:w="4357" w:type="dxa"/>
            <w:vAlign w:val="center"/>
          </w:tcPr>
          <w:p w14:paraId="3748A0C4">
            <w:pPr>
              <w:ind w:left="1400" w:hanging="1400" w:hangingChars="5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 址：</w:t>
            </w:r>
          </w:p>
          <w:p w14:paraId="1C0E5D84">
            <w:pPr>
              <w:ind w:left="1400" w:hanging="1400" w:hangingChars="500"/>
              <w:rPr>
                <w:rFonts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福建省福安市湾坞镇梅洋村14号</w:t>
            </w:r>
          </w:p>
        </w:tc>
        <w:tc>
          <w:tcPr>
            <w:tcW w:w="4358" w:type="dxa"/>
            <w:vAlign w:val="center"/>
          </w:tcPr>
          <w:p w14:paraId="016CE609">
            <w:pPr>
              <w:ind w:left="1400" w:hanging="1400" w:hangingChars="5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 址：</w:t>
            </w:r>
          </w:p>
          <w:p w14:paraId="23AD8299">
            <w:pPr>
              <w:jc w:val="left"/>
              <w:rPr>
                <w:rFonts w:ascii="仿宋_GB2312" w:hAnsi="仿宋_GB2312" w:eastAsia="仿宋_GB2312" w:cs="仿宋_GB2312"/>
                <w:color w:val="auto"/>
                <w:sz w:val="28"/>
                <w:szCs w:val="28"/>
              </w:rPr>
            </w:pPr>
          </w:p>
        </w:tc>
      </w:tr>
      <w:tr w14:paraId="0C03B1D5">
        <w:tblPrEx>
          <w:tblCellMar>
            <w:top w:w="0" w:type="dxa"/>
            <w:left w:w="108" w:type="dxa"/>
            <w:bottom w:w="0" w:type="dxa"/>
            <w:right w:w="108" w:type="dxa"/>
          </w:tblCellMar>
        </w:tblPrEx>
        <w:trPr>
          <w:trHeight w:val="510" w:hRule="atLeast"/>
        </w:trPr>
        <w:tc>
          <w:tcPr>
            <w:tcW w:w="4357" w:type="dxa"/>
            <w:vAlign w:val="center"/>
          </w:tcPr>
          <w:p w14:paraId="4F8367A3">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开户银行：</w:t>
            </w:r>
            <w:r>
              <w:rPr>
                <w:rFonts w:hint="eastAsia" w:ascii="仿宋_GB2312" w:hAnsi="仿宋_GB2312" w:eastAsia="仿宋_GB2312" w:cs="仿宋_GB2312"/>
                <w:color w:val="auto"/>
                <w:kern w:val="0"/>
                <w:sz w:val="28"/>
                <w:szCs w:val="28"/>
              </w:rPr>
              <w:t>中国银行福安支行</w:t>
            </w:r>
          </w:p>
        </w:tc>
        <w:tc>
          <w:tcPr>
            <w:tcW w:w="4358" w:type="dxa"/>
            <w:vAlign w:val="center"/>
          </w:tcPr>
          <w:p w14:paraId="793F6403">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开户银行：</w:t>
            </w:r>
          </w:p>
        </w:tc>
      </w:tr>
      <w:tr w14:paraId="007CCFBB">
        <w:tblPrEx>
          <w:tblCellMar>
            <w:top w:w="0" w:type="dxa"/>
            <w:left w:w="108" w:type="dxa"/>
            <w:bottom w:w="0" w:type="dxa"/>
            <w:right w:w="108" w:type="dxa"/>
          </w:tblCellMar>
        </w:tblPrEx>
        <w:trPr>
          <w:trHeight w:val="510" w:hRule="atLeast"/>
        </w:trPr>
        <w:tc>
          <w:tcPr>
            <w:tcW w:w="4357" w:type="dxa"/>
            <w:vAlign w:val="center"/>
          </w:tcPr>
          <w:p w14:paraId="6441EEF2">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开户账号：</w:t>
            </w:r>
            <w:r>
              <w:rPr>
                <w:rFonts w:hint="eastAsia" w:ascii="仿宋_GB2312" w:hAnsi="仿宋_GB2312" w:eastAsia="仿宋_GB2312" w:cs="仿宋_GB2312"/>
                <w:color w:val="auto"/>
                <w:kern w:val="0"/>
                <w:sz w:val="28"/>
                <w:szCs w:val="28"/>
              </w:rPr>
              <w:t>418262142891</w:t>
            </w:r>
          </w:p>
        </w:tc>
        <w:tc>
          <w:tcPr>
            <w:tcW w:w="4358" w:type="dxa"/>
            <w:vAlign w:val="center"/>
          </w:tcPr>
          <w:p w14:paraId="4C6DACE8">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开户账号：</w:t>
            </w:r>
          </w:p>
        </w:tc>
      </w:tr>
      <w:tr w14:paraId="0007669F">
        <w:tblPrEx>
          <w:tblCellMar>
            <w:top w:w="0" w:type="dxa"/>
            <w:left w:w="108" w:type="dxa"/>
            <w:bottom w:w="0" w:type="dxa"/>
            <w:right w:w="108" w:type="dxa"/>
          </w:tblCellMar>
        </w:tblPrEx>
        <w:trPr>
          <w:trHeight w:val="510" w:hRule="atLeast"/>
        </w:trPr>
        <w:tc>
          <w:tcPr>
            <w:tcW w:w="4357" w:type="dxa"/>
            <w:vAlign w:val="center"/>
          </w:tcPr>
          <w:p w14:paraId="36594D58">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税    号：913509815917385597</w:t>
            </w:r>
          </w:p>
        </w:tc>
        <w:tc>
          <w:tcPr>
            <w:tcW w:w="4358" w:type="dxa"/>
            <w:vAlign w:val="center"/>
          </w:tcPr>
          <w:p w14:paraId="73080000">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税    号：</w:t>
            </w:r>
          </w:p>
        </w:tc>
      </w:tr>
      <w:tr w14:paraId="717F34CA">
        <w:tblPrEx>
          <w:tblCellMar>
            <w:top w:w="0" w:type="dxa"/>
            <w:left w:w="108" w:type="dxa"/>
            <w:bottom w:w="0" w:type="dxa"/>
            <w:right w:w="108" w:type="dxa"/>
          </w:tblCellMar>
        </w:tblPrEx>
        <w:trPr>
          <w:trHeight w:val="510" w:hRule="atLeast"/>
        </w:trPr>
        <w:tc>
          <w:tcPr>
            <w:tcW w:w="4357" w:type="dxa"/>
            <w:vAlign w:val="center"/>
          </w:tcPr>
          <w:p w14:paraId="38CECE3B">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邮政编码：</w:t>
            </w:r>
            <w:r>
              <w:rPr>
                <w:rFonts w:hint="eastAsia" w:ascii="仿宋_GB2312" w:hAnsi="仿宋_GB2312" w:eastAsia="仿宋_GB2312" w:cs="仿宋_GB2312"/>
                <w:color w:val="auto"/>
                <w:kern w:val="0"/>
                <w:sz w:val="28"/>
                <w:szCs w:val="28"/>
              </w:rPr>
              <w:t>355006</w:t>
            </w:r>
          </w:p>
        </w:tc>
        <w:tc>
          <w:tcPr>
            <w:tcW w:w="4358" w:type="dxa"/>
            <w:vAlign w:val="center"/>
          </w:tcPr>
          <w:p w14:paraId="559637AC">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邮政编码：</w:t>
            </w:r>
          </w:p>
        </w:tc>
      </w:tr>
    </w:tbl>
    <w:p w14:paraId="089A0D92">
      <w:pPr>
        <w:spacing w:line="480" w:lineRule="exact"/>
        <w:rPr>
          <w:rFonts w:hint="eastAsia" w:ascii="仿宋_GB2312" w:hAnsi="仿宋_GB2312" w:eastAsia="仿宋_GB2312" w:cs="仿宋_GB2312"/>
          <w:color w:val="auto"/>
          <w:sz w:val="28"/>
          <w:szCs w:val="28"/>
        </w:rPr>
      </w:pPr>
    </w:p>
    <w:p w14:paraId="2819B3D3">
      <w:pPr>
        <w:spacing w:line="480" w:lineRule="exact"/>
        <w:ind w:firstLine="560" w:firstLineChars="200"/>
        <w:rPr>
          <w:rFonts w:ascii="仿宋_GB2312" w:hAnsi="仿宋_GB2312" w:eastAsia="仿宋_GB2312" w:cs="仿宋_GB2312"/>
          <w:color w:val="auto"/>
          <w:sz w:val="28"/>
          <w:szCs w:val="28"/>
        </w:rPr>
      </w:pPr>
    </w:p>
    <w:p w14:paraId="0B35F554">
      <w:pPr>
        <w:spacing w:line="480" w:lineRule="exact"/>
        <w:ind w:firstLine="560" w:firstLineChars="200"/>
        <w:rPr>
          <w:rFonts w:ascii="仿宋_GB2312" w:hAnsi="仿宋_GB2312" w:eastAsia="仿宋_GB2312" w:cs="仿宋_GB2312"/>
          <w:color w:val="auto"/>
          <w:sz w:val="28"/>
          <w:szCs w:val="28"/>
        </w:rPr>
      </w:pPr>
    </w:p>
    <w:p w14:paraId="2E73522A">
      <w:pPr>
        <w:spacing w:line="480" w:lineRule="exact"/>
        <w:ind w:firstLine="560" w:firstLineChars="200"/>
        <w:rPr>
          <w:rFonts w:ascii="仿宋_GB2312" w:hAnsi="仿宋_GB2312" w:eastAsia="仿宋_GB2312" w:cs="仿宋_GB2312"/>
          <w:color w:val="auto"/>
          <w:sz w:val="28"/>
          <w:szCs w:val="28"/>
        </w:rPr>
      </w:pPr>
    </w:p>
    <w:p w14:paraId="40190A70">
      <w:pPr>
        <w:rPr>
          <w:rFonts w:ascii="仿宋_GB2312" w:hAnsi="仿宋_GB2312" w:eastAsia="仿宋_GB2312" w:cs="仿宋_GB2312"/>
          <w:color w:val="auto"/>
          <w:sz w:val="28"/>
          <w:szCs w:val="28"/>
        </w:rPr>
      </w:pPr>
    </w:p>
    <w:bookmarkEnd w:id="0"/>
    <w:sectPr>
      <w:footerReference r:id="rId3" w:type="default"/>
      <w:pgSz w:w="11906" w:h="16838"/>
      <w:pgMar w:top="1418" w:right="1418" w:bottom="1134"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79859">
    <w:pPr>
      <w:pStyle w:val="2"/>
      <w:jc w:val="center"/>
    </w:pPr>
    <w:r>
      <w:fldChar w:fldCharType="begin"/>
    </w:r>
    <w:r>
      <w:instrText xml:space="preserve">PAGE   \* MERGEFORMAT</w:instrText>
    </w:r>
    <w:r>
      <w:fldChar w:fldCharType="separate"/>
    </w:r>
    <w:r>
      <w:rPr>
        <w:lang w:val="zh-CN"/>
      </w:rPr>
      <w:t>7</w:t>
    </w:r>
    <w:r>
      <w:fldChar w:fldCharType="end"/>
    </w:r>
  </w:p>
  <w:p w14:paraId="5558D95E">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07B3E02"/>
    <w:rsid w:val="000D26EE"/>
    <w:rsid w:val="001A798E"/>
    <w:rsid w:val="00231876"/>
    <w:rsid w:val="006678C4"/>
    <w:rsid w:val="006B3E99"/>
    <w:rsid w:val="007716AE"/>
    <w:rsid w:val="00C16BC3"/>
    <w:rsid w:val="00CE05AF"/>
    <w:rsid w:val="00D90992"/>
    <w:rsid w:val="00E82B1E"/>
    <w:rsid w:val="00E95B6B"/>
    <w:rsid w:val="00EB0C8D"/>
    <w:rsid w:val="06EC147D"/>
    <w:rsid w:val="0AC7549A"/>
    <w:rsid w:val="0E7F3E4D"/>
    <w:rsid w:val="19CE19A7"/>
    <w:rsid w:val="207B3E02"/>
    <w:rsid w:val="233A7839"/>
    <w:rsid w:val="2F350375"/>
    <w:rsid w:val="37B258A2"/>
    <w:rsid w:val="3A152ED8"/>
    <w:rsid w:val="3E9B4AFA"/>
    <w:rsid w:val="41A835D2"/>
    <w:rsid w:val="53486019"/>
    <w:rsid w:val="58BB223B"/>
    <w:rsid w:val="5D2A656C"/>
    <w:rsid w:val="5D467F66"/>
    <w:rsid w:val="64C81055"/>
    <w:rsid w:val="676025B7"/>
    <w:rsid w:val="72E06191"/>
    <w:rsid w:val="746F20D0"/>
    <w:rsid w:val="75DE47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4096</Words>
  <Characters>4215</Characters>
  <Lines>30</Lines>
  <Paragraphs>8</Paragraphs>
  <TotalTime>0</TotalTime>
  <ScaleCrop>false</ScaleCrop>
  <LinksUpToDate>false</LinksUpToDate>
  <CharactersWithSpaces>4244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2025-08-01T07:31:00Z</dcterms:created>
  <dc:creator>扬帆</dc:creator>
  <cp:lastModifiedBy>李垚</cp:lastModifiedBy>
  <dcterms:modified xsi:type="dcterms:W3CDTF">2025-10-20T03:32:37Z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AE972F095CEF46CC8E5672B033447D95_13</vt:lpwstr>
  </property>
  <property fmtid="{D5CDD505-2E9C-101B-9397-08002B2CF9AE}" pid="4" name="KSOTemplateDocerSaveRecord">
    <vt:lpwstr>eyJoZGlkIjoiOWJiZTUzMWVhOTU0NDhkYjI1Nzg1MGZkMzAwNzNjMGIiLCJ1c2VySWQiOiIxNjgyODg2ODQ3In0=</vt:lpwstr>
  </property>
</Properties>
</file>