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579F13">
      <w:pPr>
        <w:spacing w:before="156" w:beforeLines="50" w:after="156" w:afterLines="50" w:line="720" w:lineRule="exact"/>
        <w:jc w:val="center"/>
        <w:rPr>
          <w:rFonts w:ascii="仿宋_GB2312" w:hAnsi="仿宋_GB2312" w:eastAsia="仿宋_GB2312" w:cs="仿宋_GB2312"/>
          <w:b/>
          <w:color w:val="auto"/>
          <w:sz w:val="40"/>
          <w:szCs w:val="40"/>
          <w:highlight w:val="none"/>
        </w:rPr>
      </w:pPr>
      <w:r>
        <w:rPr>
          <w:rFonts w:hint="eastAsia" w:ascii="仿宋_GB2312" w:hAnsi="仿宋_GB2312" w:eastAsia="仿宋_GB2312" w:cs="仿宋_GB2312"/>
          <w:b/>
          <w:color w:val="auto"/>
          <w:sz w:val="40"/>
          <w:szCs w:val="40"/>
          <w:highlight w:val="none"/>
        </w:rPr>
        <w:t>水泥生产劳务承包合同</w:t>
      </w:r>
      <w:bookmarkStart w:id="0" w:name="_GoBack"/>
      <w:bookmarkEnd w:id="0"/>
    </w:p>
    <w:p w14:paraId="6C783626">
      <w:pPr>
        <w:spacing w:line="600" w:lineRule="exact"/>
        <w:rPr>
          <w:rFonts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发包方（甲方）：福建省宁德建福建材有限公司</w:t>
      </w:r>
    </w:p>
    <w:p w14:paraId="79F3C3FD">
      <w:pPr>
        <w:spacing w:line="600" w:lineRule="exact"/>
        <w:rPr>
          <w:rFonts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承包方（乙方）：</w:t>
      </w:r>
    </w:p>
    <w:p w14:paraId="6965F985">
      <w:pPr>
        <w:spacing w:line="600" w:lineRule="exact"/>
        <w:rPr>
          <w:rFonts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 xml:space="preserve">签订地点：福建省福安市 </w:t>
      </w:r>
    </w:p>
    <w:p w14:paraId="1826DF88">
      <w:pPr>
        <w:spacing w:line="600" w:lineRule="exact"/>
        <w:rPr>
          <w:rFonts w:ascii="仿宋_GB2312" w:hAnsi="仿宋_GB2312" w:eastAsia="仿宋_GB2312" w:cs="仿宋_GB2312"/>
          <w:b/>
          <w:bCs/>
          <w:color w:val="auto"/>
          <w:sz w:val="28"/>
          <w:szCs w:val="28"/>
          <w:highlight w:val="none"/>
          <w:lang w:eastAsia="zh-TW"/>
        </w:rPr>
      </w:pPr>
      <w:r>
        <w:rPr>
          <w:rFonts w:hint="eastAsia" w:ascii="仿宋_GB2312" w:hAnsi="仿宋_GB2312" w:eastAsia="仿宋_GB2312" w:cs="仿宋_GB2312"/>
          <w:b/>
          <w:color w:val="auto"/>
          <w:sz w:val="28"/>
          <w:szCs w:val="28"/>
          <w:highlight w:val="none"/>
        </w:rPr>
        <w:t>签订时间：2025年 月 日</w:t>
      </w:r>
    </w:p>
    <w:p w14:paraId="078AD773">
      <w:pPr>
        <w:spacing w:line="48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甲、乙双方本着平等互惠、诚实信用的原则，依据《中华人民共和国</w:t>
      </w:r>
      <w:r>
        <w:rPr>
          <w:rFonts w:hint="eastAsia" w:ascii="仿宋_GB2312" w:hAnsi="仿宋_GB2312" w:eastAsia="仿宋_GB2312" w:cs="仿宋_GB2312"/>
          <w:color w:val="auto"/>
          <w:sz w:val="28"/>
          <w:szCs w:val="28"/>
          <w:highlight w:val="none"/>
        </w:rPr>
        <w:t>民法典》等相</w:t>
      </w:r>
      <w:r>
        <w:rPr>
          <w:rFonts w:hint="eastAsia" w:ascii="仿宋_GB2312" w:hAnsi="仿宋_GB2312" w:eastAsia="仿宋_GB2312" w:cs="仿宋_GB2312"/>
          <w:color w:val="auto"/>
          <w:sz w:val="28"/>
          <w:szCs w:val="28"/>
          <w:highlight w:val="none"/>
        </w:rPr>
        <w:t>关法律法规，就</w:t>
      </w:r>
      <w:r>
        <w:rPr>
          <w:rFonts w:hint="eastAsia" w:ascii="仿宋_GB2312" w:hAnsi="仿宋_GB2312" w:eastAsia="仿宋_GB2312" w:cs="仿宋_GB2312"/>
          <w:bCs/>
          <w:color w:val="auto"/>
          <w:sz w:val="28"/>
          <w:szCs w:val="28"/>
          <w:highlight w:val="none"/>
        </w:rPr>
        <w:t>乙方</w:t>
      </w:r>
      <w:r>
        <w:rPr>
          <w:rFonts w:hint="eastAsia" w:ascii="仿宋_GB2312" w:hAnsi="仿宋_GB2312" w:eastAsia="仿宋_GB2312" w:cs="仿宋_GB2312"/>
          <w:color w:val="auto"/>
          <w:sz w:val="28"/>
          <w:szCs w:val="28"/>
          <w:highlight w:val="none"/>
        </w:rPr>
        <w:t>承包甲方的水泥生产劳务及相关</w:t>
      </w:r>
      <w:r>
        <w:rPr>
          <w:rFonts w:hint="eastAsia" w:ascii="仿宋_GB2312" w:hAnsi="仿宋_GB2312" w:eastAsia="仿宋_GB2312" w:cs="仿宋_GB2312"/>
          <w:bCs/>
          <w:color w:val="auto"/>
          <w:sz w:val="28"/>
          <w:szCs w:val="28"/>
          <w:highlight w:val="none"/>
        </w:rPr>
        <w:t>合作</w:t>
      </w:r>
      <w:r>
        <w:rPr>
          <w:rFonts w:hint="eastAsia" w:ascii="仿宋_GB2312" w:hAnsi="仿宋_GB2312" w:eastAsia="仿宋_GB2312" w:cs="仿宋_GB2312"/>
          <w:color w:val="auto"/>
          <w:sz w:val="28"/>
          <w:szCs w:val="28"/>
          <w:highlight w:val="none"/>
        </w:rPr>
        <w:t>事宜，经双方协商一致，签订本合同。</w:t>
      </w:r>
    </w:p>
    <w:p w14:paraId="678D5547">
      <w:pPr>
        <w:spacing w:line="480" w:lineRule="exact"/>
        <w:rPr>
          <w:rFonts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 xml:space="preserve">一、承包范围 </w:t>
      </w:r>
    </w:p>
    <w:p w14:paraId="73871AA2">
      <w:pPr>
        <w:spacing w:line="48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本劳务承包合同的承包范围为甲方的水泥生产过程组织及劳务、辅材消耗，涵盖但不仅限于以下所列：</w:t>
      </w:r>
    </w:p>
    <w:p w14:paraId="3EC76A07">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（一）从原材料计量进厂入库或入堆棚，至原材料的存取、配料、粉磨生产、成品包装、装车及计量出厂等全部过程。</w:t>
      </w:r>
    </w:p>
    <w:p w14:paraId="606078AF">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生产装备、高低压供电系统及配套附属设施的维修、维护、保养、运行，并承担所需的配件、材料消耗及维修维护费用（包括堆场、堆棚、生产车间、仓库、水、电、道路、水沟等地上地下设施、设备维修维护）。</w:t>
      </w:r>
    </w:p>
    <w:p w14:paraId="5CB70B56">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（三）装载机、叉车等厂内运载和特种设备的运行、维修维护、配件采购，并承担所需的油耗、维修维护、配件材料等费用。</w:t>
      </w:r>
    </w:p>
    <w:p w14:paraId="112068F6">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（四）厂区范围内的办公生活场所、生产车间、通道、生产装备设施、广场、原材料堆放场地及成品库等清洁生产；厂区的消防保卫工作。</w:t>
      </w:r>
    </w:p>
    <w:p w14:paraId="4BECF4DA">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（五）所有选派从业人员的岗位培训、教育、劳动保护、职业健康、医社保等费用。</w:t>
      </w:r>
    </w:p>
    <w:p w14:paraId="17D2D1A3">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（六）甲方安排的其他相关工作。</w:t>
      </w:r>
    </w:p>
    <w:p w14:paraId="176BA567">
      <w:pPr>
        <w:spacing w:line="480" w:lineRule="exact"/>
        <w:rPr>
          <w:rFonts w:ascii="仿宋_GB2312" w:hAnsi="仿宋_GB2312" w:eastAsia="仿宋_GB2312" w:cs="仿宋_GB2312"/>
          <w:b/>
          <w:color w:val="auto"/>
          <w:sz w:val="28"/>
          <w:szCs w:val="28"/>
          <w:highlight w:val="none"/>
        </w:rPr>
      </w:pPr>
    </w:p>
    <w:p w14:paraId="39D471BA">
      <w:pPr>
        <w:spacing w:line="480" w:lineRule="exact"/>
        <w:rPr>
          <w:rFonts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 xml:space="preserve">二、承包期限、地点和履行方式 </w:t>
      </w:r>
    </w:p>
    <w:p w14:paraId="4DA64452">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（一）承包期限五年：自2025年  月  日至2030年  月  日止。</w:t>
      </w:r>
    </w:p>
    <w:p w14:paraId="0FB1E09A">
      <w:pPr>
        <w:spacing w:line="480" w:lineRule="exact"/>
        <w:ind w:left="840" w:hanging="840" w:hangingChars="3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28"/>
          <w:szCs w:val="28"/>
          <w:highlight w:val="none"/>
        </w:rPr>
        <w:t>（二）履行地点和方式：乙方选派管理及劳务人员进驻甲方生产现场服务。</w:t>
      </w:r>
    </w:p>
    <w:p w14:paraId="1316C89F">
      <w:pPr>
        <w:spacing w:line="480" w:lineRule="exact"/>
        <w:rPr>
          <w:rFonts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三、生产计划及质量技术指标</w:t>
      </w:r>
    </w:p>
    <w:p w14:paraId="7F56DA09">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（一）生产计划及产量承包指标</w:t>
      </w:r>
    </w:p>
    <w:p w14:paraId="503D38E2">
      <w:pPr>
        <w:spacing w:line="480" w:lineRule="exact"/>
        <w:ind w:left="838" w:leftChars="399"/>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1.生产计划每月由甲方在月初以书面形式下达（如有调整，甲方以书面形式另行通知），乙方据此安排生产，次月由甲乙双方共同确认后按实结算。</w:t>
      </w:r>
    </w:p>
    <w:p w14:paraId="609F7E89">
      <w:pPr>
        <w:spacing w:line="480" w:lineRule="exact"/>
        <w:ind w:firstLine="560" w:firstLineChars="200"/>
        <w:rPr>
          <w:rFonts w:ascii="仿宋_GB2312" w:hAnsi="仿宋_GB2312" w:eastAsia="仿宋_GB2312" w:cs="仿宋_GB2312"/>
          <w:bCs/>
          <w:color w:val="auto"/>
          <w:sz w:val="28"/>
          <w:szCs w:val="28"/>
          <w:highlight w:val="none"/>
        </w:rPr>
      </w:pPr>
      <w:r>
        <w:rPr>
          <w:rFonts w:hint="eastAsia" w:ascii="仿宋_GB2312" w:hAnsi="仿宋_GB2312" w:eastAsia="仿宋_GB2312" w:cs="仿宋_GB2312"/>
          <w:color w:val="auto"/>
          <w:sz w:val="28"/>
          <w:szCs w:val="28"/>
          <w:highlight w:val="none"/>
        </w:rPr>
        <w:t>2.加工生产过程的物料损耗按干基物料计算，不得超过1%。</w:t>
      </w:r>
    </w:p>
    <w:p w14:paraId="00EC4A63">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（二）产品质量指标</w:t>
      </w:r>
    </w:p>
    <w:p w14:paraId="55BCDFCE">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乙方依照甲方质量控制部门的指令组织生产，生产安排服从质量控制部门调度。生产过程质量控制应当满足《通用硅酸盐水泥》、《砌筑水泥》、《水泥生产企业质量管理规程》、《水泥产品生产许可证实施细则》等国家相关法律法规的最新要求。甲方质量控制部门要求对原材料配料比例进行调整时，乙方需无条件服从。</w:t>
      </w:r>
    </w:p>
    <w:p w14:paraId="71EECE2E">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2.产品质量指标必须不低于国家及行业标准要求；若另有要求，甲方另行通知。</w:t>
      </w:r>
    </w:p>
    <w:p w14:paraId="738C8791">
      <w:pPr>
        <w:spacing w:line="480" w:lineRule="exact"/>
        <w:rPr>
          <w:rFonts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四、生产劳务承包项目及费用标准</w:t>
      </w:r>
    </w:p>
    <w:p w14:paraId="30F865C0">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（一）生产劳务承包单位费用    元/吨(总产量与关联的《委托加工生产水泥业务合同》对应，年保底水泥生产量40万吨，不足40万吨时视同40万吨计算)。 </w:t>
      </w:r>
    </w:p>
    <w:p w14:paraId="70CB66AD">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（二）生产劳务承包费用项目包括以下几个方面：</w:t>
      </w:r>
    </w:p>
    <w:p w14:paraId="66096762">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1.人工薪酬费用：含工资、福利、社保、劳保、培训教育及人工管理等所有人工费用。</w:t>
      </w:r>
    </w:p>
    <w:p w14:paraId="1156B6BF">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2.维护修理费用：生产过程的备品配件费用(主要包括钢球、衬板、隔仓板、辊面堆焊材料、皮带、提升机斗子、收尘袋、机电元器件、维修保养耗材等),油料费用(润滑、液压、车辆用油)等。 </w:t>
      </w:r>
    </w:p>
    <w:p w14:paraId="4FBA6CFF">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3.用电用水费用：包括生产和行政生活用电用水，</w:t>
      </w:r>
      <w:r>
        <w:rPr>
          <w:rFonts w:hint="eastAsia" w:ascii="仿宋_GB2312" w:hAnsi="仿宋_GB2312" w:eastAsia="仿宋_GB2312" w:cs="仿宋_GB2312"/>
          <w:color w:val="auto"/>
          <w:sz w:val="28"/>
          <w:szCs w:val="28"/>
          <w:highlight w:val="none"/>
        </w:rPr>
        <w:t>10</w:t>
      </w:r>
      <w:r>
        <w:rPr>
          <w:rFonts w:hint="eastAsia" w:ascii="仿宋_GB2312" w:hAnsi="仿宋_GB2312" w:eastAsia="仿宋_GB2312" w:cs="仿宋_GB2312"/>
          <w:color w:val="auto"/>
          <w:sz w:val="28"/>
          <w:szCs w:val="28"/>
          <w:highlight w:val="none"/>
        </w:rPr>
        <w:t>kV外线巡线清障费用。</w:t>
      </w:r>
    </w:p>
    <w:p w14:paraId="44A89C53">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4.化验、试验、监测、检验等费用：含产品、材料送检、生产过程中的产生EHS、计量、特种设备的监测、检测、检验等，生产许可证取证、排污许可证取证、环保监测、作业人员资质取证等所有围绕质量、安全、环保、能源等涉及的正常费用。 </w:t>
      </w:r>
    </w:p>
    <w:p w14:paraId="32473459">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5.其他管理费用：含行政办公、外部公关协调、财产保险及环保 税等相关管理费用。</w:t>
      </w:r>
    </w:p>
    <w:p w14:paraId="6F6810D7">
      <w:pPr>
        <w:spacing w:line="480" w:lineRule="exact"/>
        <w:rPr>
          <w:rFonts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五、乙方派出人员要求、劳动关系管理及其费用承担</w:t>
      </w:r>
    </w:p>
    <w:p w14:paraId="0C4E280F">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乙方派驻现场的从业人员应身体健康,经验丰富,工作能力强,应能够胜任及满足现场操作,具有处理和解决紧急问题的能力；人员包括：项目负责人一名，工艺、装备、质量、安全管理技术人员各不少于一名，化验人员不少于四人且必须有一名能够胜任全分析岗位技能要求，其他派驻人员必须确保甲方正常生产、维修作业劳务及管理工作等的需要。</w:t>
      </w:r>
    </w:p>
    <w:p w14:paraId="7538A8F4">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（二）乙方各类作业人员必须具备相应的安全技术素质，特种作业或有从业资格要求的人员必须持有效证照方准上岗。</w:t>
      </w:r>
    </w:p>
    <w:p w14:paraId="17351D17">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（三）乙方进驻现场的人员必须遵守国家的法律、法规，必须遵守甲方的一切规章制度及有关规定。</w:t>
      </w:r>
    </w:p>
    <w:p w14:paraId="26FFB79D">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（四）乙方聘用人员（不含甲方人员）的人事及劳动关系、劳资分配由乙方自行负责管理，所有费用由乙方承担。</w:t>
      </w:r>
    </w:p>
    <w:p w14:paraId="023A9B76">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（五）乙方聘用人员变动，应提前告知甲方，并在变动后三日内将变</w:t>
      </w:r>
      <w:r>
        <w:rPr>
          <w:rFonts w:hint="eastAsia" w:ascii="仿宋_GB2312" w:hAnsi="仿宋_GB2312" w:eastAsia="仿宋_GB2312" w:cs="仿宋_GB2312"/>
          <w:color w:val="auto"/>
          <w:sz w:val="28"/>
          <w:szCs w:val="28"/>
          <w:highlight w:val="none"/>
        </w:rPr>
        <w:t>动情况向甲方报备。</w:t>
      </w:r>
    </w:p>
    <w:p w14:paraId="289703B8">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（六）乙方指定</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为项目负责人，全权代表乙方签署履行本合同事项的相关文件以及各类计划、报表等的确认。乙方应确保项目负责人常驻在甲方，若有变更，应提前以书面方式通知甲方。</w:t>
      </w:r>
    </w:p>
    <w:p w14:paraId="5DE68ABA">
      <w:pPr>
        <w:spacing w:line="480" w:lineRule="exact"/>
        <w:rPr>
          <w:rFonts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六、双方的权利和义务</w:t>
      </w:r>
    </w:p>
    <w:p w14:paraId="40352D12">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(一)甲方的权利和义务</w:t>
      </w:r>
    </w:p>
    <w:p w14:paraId="31205DD9">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1.甲方应按合同约定向乙方交付现有生产设施，有权按本合同约定或相关法律法规要求对乙方进行监督检查管理。甲方要求乙方履行合同约定的事项，乙方必须配合。</w:t>
      </w:r>
    </w:p>
    <w:p w14:paraId="400CEEEB">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2.甲方应及时审核乙方申报的各项文件和计划，对存在的疑问或需修改的事项应及时通知乙方；及时审核乙方上报的备品备件等其他物资采购计划。</w:t>
      </w:r>
    </w:p>
    <w:p w14:paraId="21548BCC">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3.甲方在现有条件下，尽量为乙方人员免费提供合适的办公场所和设施。</w:t>
      </w:r>
    </w:p>
    <w:p w14:paraId="5EF4819D">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 甲方化验室主任对产品生产过程有质量控制权，对水泥产品有出厂决定权。</w:t>
      </w:r>
    </w:p>
    <w:p w14:paraId="785A46FA">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5.若乙方派驻人员不服从甲方指挥、违反甲方管理制度，或无法胜任其岗位、达不到本合同约定要求时，甲方有权要求乙方给予调整补充。</w:t>
      </w:r>
    </w:p>
    <w:p w14:paraId="7114FB8F">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6.当出现乙方确实无力履行本合同或乙方严重违反本合同约定时，甲方有权单方解除合同，并要求乙方承担违约责任。</w:t>
      </w:r>
    </w:p>
    <w:p w14:paraId="5F6627CB">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7.如乙方提供原材料不符合相关质量标准的（如放射性不合格、重金属超标、危废、非合规混合材等），甲方有权拒绝使用，由此造成水泥停止生产、出厂断供等后果由乙方承担。</w:t>
      </w:r>
    </w:p>
    <w:p w14:paraId="62D79218">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(二)乙方的权利和义务</w:t>
      </w:r>
    </w:p>
    <w:p w14:paraId="7833CF3F">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 乙方及其</w:t>
      </w:r>
      <w:r>
        <w:rPr>
          <w:rFonts w:hint="eastAsia" w:ascii="仿宋_GB2312" w:hAnsi="仿宋_GB2312" w:eastAsia="仿宋_GB2312" w:cs="仿宋_GB2312"/>
          <w:color w:val="auto"/>
          <w:sz w:val="28"/>
          <w:szCs w:val="28"/>
          <w:highlight w:val="none"/>
        </w:rPr>
        <w:t>派驻人员需具备相应的资质并获甲方认可，</w:t>
      </w:r>
      <w:r>
        <w:rPr>
          <w:rFonts w:hint="eastAsia" w:ascii="仿宋_GB2312" w:hAnsi="仿宋_GB2312" w:eastAsia="仿宋_GB2312" w:cs="仿宋_GB2312"/>
          <w:color w:val="auto"/>
          <w:sz w:val="28"/>
          <w:szCs w:val="28"/>
          <w:highlight w:val="none"/>
        </w:rPr>
        <w:t>并向甲方提供完整的企业合法合规证明（相关证照复印件）和完整真实的派驻作业人员名册及相关证照资料（复印件）等，。</w:t>
      </w:r>
    </w:p>
    <w:p w14:paraId="7694FE62">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2.乙方有权依照本合同约定合理使用设备设施，享有承包管理的自主权（本合同另有约定除外）。</w:t>
      </w:r>
    </w:p>
    <w:p w14:paraId="1C4541F4">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3.乙方必须保证甲方资产设备的完好与安全，严格依照工艺和设备管理规程组织生产，加强日常设备维护和润滑管理，定期进行设备的检修，自觉接受甲方人员的监督管理。</w:t>
      </w:r>
    </w:p>
    <w:p w14:paraId="6BF20CA9">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乙方应加强现场装备及安全生产、环境保护、清洁生产等管理,严格遵守质量、安全、环保、税收和劳动用工等法律法规和地方政府相关规定，接受地方政府相关部门的监督及甲方管理，应根据上级检查及安全环保督查的整改通知要求限期完成相关整改，对存在的问题要制定合理整改方案并组织实施；做好节能降耗、修旧利废工作等。</w:t>
      </w:r>
    </w:p>
    <w:p w14:paraId="2D409C9D">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乙方需按国家标准规范及甲方企业的管理制度，制定并遵守与生产相关的各项规章制度，包括但不仅限于《安全操作规程》《安全规程》《巡检规程》《产品质量管理规程》《取样及检验规程》《设备管理规程》《作业指导书》等技术管理文件，规范管理，使生产管理制度化。</w:t>
      </w:r>
    </w:p>
    <w:p w14:paraId="7B32554A">
      <w:pPr>
        <w:spacing w:line="480" w:lineRule="exact"/>
        <w:ind w:left="839" w:leftChars="266" w:hanging="280" w:hangingChars="1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28"/>
          <w:szCs w:val="28"/>
          <w:highlight w:val="none"/>
        </w:rPr>
        <w:t>6.规范各种生产记录（包括但不仅限于：运行记录、早会记录、交接班记录、设备巡检记录、润滑纪录、缺陷登记消缺记录、质量记录等）、各类单据、报表、台帐等，做到有据可查、管理规范。</w:t>
      </w:r>
    </w:p>
    <w:p w14:paraId="747783DF">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7.乙方每日应对原料库存量、日生产产量、成品库存量等进行对账盘点，并形成记录，每月将相关报表报送给甲方。</w:t>
      </w:r>
    </w:p>
    <w:p w14:paraId="50FEC395">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8.本合同范围内的生产所需材料、备品备件、水电等，由乙方自行采购；需甲方代签合同的，由供货方提供发票给甲方。乙方必须配合甲方对材料、备品备件采购和使用情况的管理。</w:t>
      </w:r>
    </w:p>
    <w:p w14:paraId="5DD45E00">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9.承包期间，乙方对安全生产负全面责任，对承包期间造成的人身伤亡、火灾损失和设备损坏等事故承担法律、行政责任和全部经济损失。安全生产管理及责任具体内容详见双方签订《安全生产管理协议》（附件1）。</w:t>
      </w:r>
    </w:p>
    <w:p w14:paraId="77DA4964">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10.乙方郑重承诺：对《委托加工水泥生产业务合同》的委托方与甲方履行的合同义务承担连带责任。《委托加工水泥生产业务合同》的委托方对甲方违约行为应视同乙方作出，乙方应承担由此产生的违约责任和不利后果。</w:t>
      </w:r>
    </w:p>
    <w:p w14:paraId="19A46BF2">
      <w:pPr>
        <w:spacing w:line="480" w:lineRule="exact"/>
        <w:rPr>
          <w:rFonts w:ascii="仿宋_GB2312" w:hAnsi="仿宋_GB2312" w:eastAsia="仿宋_GB2312" w:cs="仿宋_GB2312"/>
          <w:b/>
          <w:color w:val="auto"/>
          <w:sz w:val="30"/>
          <w:szCs w:val="30"/>
          <w:highlight w:val="none"/>
        </w:rPr>
      </w:pPr>
      <w:r>
        <w:rPr>
          <w:rFonts w:hint="eastAsia" w:ascii="仿宋_GB2312" w:hAnsi="仿宋_GB2312" w:eastAsia="仿宋_GB2312" w:cs="仿宋_GB2312"/>
          <w:b/>
          <w:color w:val="auto"/>
          <w:sz w:val="28"/>
          <w:szCs w:val="28"/>
          <w:highlight w:val="none"/>
        </w:rPr>
        <w:t>七、考核管理办法</w:t>
      </w:r>
    </w:p>
    <w:p w14:paraId="1FCA6065">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（一）安全生产管理考核详见双方签订的安全生产管理协议（附件1）、《福建水泥生产运营管理手册：安全生产管理篇》及相关规定执行。</w:t>
      </w:r>
    </w:p>
    <w:p w14:paraId="68D838D6">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（二）环境保护、清洁生产等管理考核按甲方有关考核规定执行。</w:t>
      </w:r>
    </w:p>
    <w:p w14:paraId="226F70FE">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（三）产量管理考核</w:t>
      </w:r>
    </w:p>
    <w:p w14:paraId="312B3375">
      <w:pPr>
        <w:spacing w:line="480" w:lineRule="exact"/>
        <w:ind w:left="838" w:leftChars="399"/>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生产计划每月由甲方在月初以书面形式下达（如有调整，甲方以书面形式另行通知），乙方据此安排生产，次月由甲方考核后与乙方共同确认。考核办法按《福建水泥生产运营管理手册：生产管理篇》及相关规定执行。</w:t>
      </w:r>
    </w:p>
    <w:p w14:paraId="11C5A382">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（四）质量管理考核</w:t>
      </w:r>
    </w:p>
    <w:p w14:paraId="2BFBADBA">
      <w:pPr>
        <w:spacing w:line="480" w:lineRule="exact"/>
        <w:ind w:left="838" w:leftChars="399"/>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考核办法参照《福建水泥生产运营管理手册：质量管理篇》及相关规定制定《福建省宁德建福建材有限公司质量管理考核办法》（附件2）执行。</w:t>
      </w:r>
    </w:p>
    <w:p w14:paraId="60AB3916">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（五）人员考核</w:t>
      </w:r>
    </w:p>
    <w:p w14:paraId="02A36196">
      <w:pPr>
        <w:spacing w:line="480" w:lineRule="exact"/>
        <w:ind w:left="838" w:leftChars="399"/>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乙方派驻的人员必须满足法律法规及本本合同规定的要求，甲方每月抽查一次，未能满足要求的，每月每人次考核1000元。</w:t>
      </w:r>
    </w:p>
    <w:p w14:paraId="51BAC947">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（六）装备管理考核</w:t>
      </w:r>
    </w:p>
    <w:p w14:paraId="6672426C">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  1.甲方移交给乙方的所有配件、设备、电源容量等所有权均属甲方，乙方不得对外加工、承包、转售等。不得在厂区内从事与本公司生产无关的活动。</w:t>
      </w:r>
    </w:p>
    <w:p w14:paraId="7AE98340">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  2.装备管理考核按《福建省宁德建福建材有限公司水泥生产劳务承包期间装备管理考核办法》（附件3）及《福建水泥生产运营管理手册：装备管理篇》及相关规定执行。</w:t>
      </w:r>
    </w:p>
    <w:p w14:paraId="43B768AB">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（七）考核依据和结论</w:t>
      </w:r>
    </w:p>
    <w:p w14:paraId="3FD5F235">
      <w:pPr>
        <w:spacing w:line="480" w:lineRule="exact"/>
        <w:ind w:left="838" w:leftChars="399"/>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甲方有权根据相关考核办法对乙方进行考核。对甲方考核结果及处理意见，乙方应无条件予以认可和接受，不得以任何理由和方式提出异议。甲方根据考核结果，直接从乙方每月应收取的劳务承包费中予以扣除相应扣款。</w:t>
      </w:r>
    </w:p>
    <w:p w14:paraId="7BC01FB9">
      <w:pPr>
        <w:spacing w:line="480" w:lineRule="exact"/>
        <w:rPr>
          <w:rFonts w:ascii="仿宋_GB2312" w:hAnsi="仿宋_GB2312" w:eastAsia="仿宋_GB2312" w:cs="仿宋_GB2312"/>
          <w:b/>
          <w:color w:val="auto"/>
          <w:sz w:val="30"/>
          <w:szCs w:val="30"/>
          <w:highlight w:val="none"/>
        </w:rPr>
      </w:pPr>
      <w:r>
        <w:rPr>
          <w:rFonts w:hint="eastAsia" w:ascii="仿宋_GB2312" w:hAnsi="仿宋_GB2312" w:eastAsia="仿宋_GB2312" w:cs="仿宋_GB2312"/>
          <w:b/>
          <w:color w:val="auto"/>
          <w:sz w:val="28"/>
          <w:szCs w:val="28"/>
          <w:highlight w:val="none"/>
        </w:rPr>
        <w:t>八、承包费计算办法及结算方式</w:t>
      </w:r>
    </w:p>
    <w:p w14:paraId="15B595D9">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（一）产量、物料消耗量及库存的计量与确认</w:t>
      </w:r>
    </w:p>
    <w:p w14:paraId="27F15F00">
      <w:pPr>
        <w:spacing w:line="480" w:lineRule="exact"/>
        <w:ind w:left="838" w:leftChars="399"/>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产量以出厂的实际数量为计算依据，双方每月25日共同进行全厂物资盘点，盘库数据进行对比分析，确认本月产量、消耗及库存数量。</w:t>
      </w:r>
    </w:p>
    <w:p w14:paraId="36EAE1D5">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（二）承包费计算办法</w:t>
      </w:r>
    </w:p>
    <w:p w14:paraId="437A4F2F">
      <w:pPr>
        <w:spacing w:line="480" w:lineRule="exact"/>
        <w:ind w:left="838" w:leftChars="399"/>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计算公式：月承包费=对应关联的《委托加工生产水泥业务合同》的结算月产量×生产劳务承包单位费用＋考核（奖惩）总额。</w:t>
      </w:r>
    </w:p>
    <w:p w14:paraId="0E1D245E">
      <w:pPr>
        <w:spacing w:line="480" w:lineRule="exact"/>
        <w:ind w:left="838" w:leftChars="399"/>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1.当月结算金额=承包费用-甲方代付费用。</w:t>
      </w:r>
    </w:p>
    <w:p w14:paraId="44EAC1B6">
      <w:pPr>
        <w:spacing w:line="480" w:lineRule="exact"/>
        <w:ind w:left="838" w:leftChars="399"/>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2.税费说明：</w:t>
      </w:r>
    </w:p>
    <w:p w14:paraId="7582F72E">
      <w:pPr>
        <w:spacing w:line="480" w:lineRule="exact"/>
        <w:ind w:left="838" w:leftChars="399"/>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（1）备品备件、油品等由乙方自行采购，由甲方代签合同和代付的费用部分，供货方提供增值税发票和代付的费用发票给甲方，费用由甲方代付。</w:t>
      </w:r>
    </w:p>
    <w:p w14:paraId="6DCB4744">
      <w:pPr>
        <w:spacing w:line="480" w:lineRule="exact"/>
        <w:ind w:left="838" w:leftChars="399"/>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（2）当月结算金额由乙方提供正规劳务增值税发票给甲方。</w:t>
      </w:r>
    </w:p>
    <w:p w14:paraId="17C90A61">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（三）结算时间及方式</w:t>
      </w:r>
    </w:p>
    <w:p w14:paraId="0025BDCB">
      <w:pPr>
        <w:spacing w:line="480" w:lineRule="exact"/>
        <w:ind w:left="838" w:leftChars="399"/>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乙方于每月5日前编制费用结算表，经甲乙双方共同确认后，按确认的结算金额开具发票，甲方于收到乙方发票后5日内办理付款。若乙方迟延交付发票，甲方付款期限顺延。</w:t>
      </w:r>
    </w:p>
    <w:p w14:paraId="0D6B75C7">
      <w:pPr>
        <w:spacing w:line="480" w:lineRule="exact"/>
        <w:rPr>
          <w:rFonts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九、现场设备设施的交付及承包期满后的回收</w:t>
      </w:r>
    </w:p>
    <w:p w14:paraId="438159F3">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（一）现场设备设施的交付</w:t>
      </w:r>
    </w:p>
    <w:p w14:paraId="21743CBF">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1.本合同签订前，乙方已对甲方现场设备设施的现状进行了现场勘察和充分的了解，同意以现场当前的状态下移交，双方共同编制《现场设备设施清单》并签章确认，作为本合同附件。</w:t>
      </w:r>
    </w:p>
    <w:p w14:paraId="089A6C3A">
      <w:pPr>
        <w:spacing w:line="480" w:lineRule="exact"/>
        <w:ind w:left="839" w:leftChars="266" w:hanging="280" w:hangingChars="1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 现场设备设施的交付应在合同正式生效起进行。《现场设备设施清单》经双方签章确认后，表示乙方已认同现场设备设施状态，若有必要，应保留双方确认的相关资料（包括影像资料），由甲方存档备查；并完成对设备设施全面的实物交付。</w:t>
      </w:r>
    </w:p>
    <w:p w14:paraId="1063D1A3">
      <w:pPr>
        <w:spacing w:line="480" w:lineRule="exact"/>
        <w:ind w:left="839" w:leftChars="266" w:hanging="280" w:hangingChars="1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3.乙方负责完成生产线设备设施的修复工作，并承担设备设施修复的费用</w:t>
      </w:r>
      <w:r>
        <w:rPr>
          <w:rFonts w:hint="eastAsia" w:ascii="仿宋_GB2312" w:hAnsi="仿宋_GB2312" w:eastAsia="仿宋_GB2312" w:cs="仿宋_GB2312"/>
          <w:color w:val="auto"/>
          <w:sz w:val="28"/>
          <w:szCs w:val="28"/>
          <w:highlight w:val="none"/>
        </w:rPr>
        <w:t>；乙方承担生产线具备生产条件所需的安全、环保（符合超低排放要求）的整改工作并承担整改费用，需经甲方专业部门验收通过后方可进行生产。</w:t>
      </w:r>
    </w:p>
    <w:p w14:paraId="49FDB574">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（二）承包合同解除或承包期满后现场设备设施的回收</w:t>
      </w:r>
    </w:p>
    <w:p w14:paraId="0FBB6109">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1.乙方应于承包期满提前一个月向甲方提出现场设备设施收回申请，由甲、乙双方共同派代表按《现场设备设施清单》进行实物回收交接。</w:t>
      </w:r>
    </w:p>
    <w:p w14:paraId="56F93FF6">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乙方应确保现场设备设施全部完好移交给甲方（具体要求详见附件4《水泥磨系统主机设备承包期满后的要求》），并保证设备连续满负荷运转72小时。如存在资产丢失、损毁、设备过度损耗（辊面磨损、钢球重量不足等）的，或无法连续满负荷运转72小时的，乙方应在承包期满前给予修复或照价赔偿。</w:t>
      </w:r>
    </w:p>
    <w:p w14:paraId="1760DFE6">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3.乙方应于合同期满后10日内完成现场设备设施收回全部移交手续，实物移交手续需经甲方签字确认后方可有效。</w:t>
      </w:r>
    </w:p>
    <w:p w14:paraId="20AF4A49">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4.若因其他原因双方提前解除合同的，现场设备设施收回也按本条款上述规定执行。乙方应当在合同解除之日起10日内将现场设备设施完好移交给甲方。</w:t>
      </w:r>
    </w:p>
    <w:p w14:paraId="561CD8EE">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5.乙方未按上述规定按时将现场设备设施移交给甲方的，或强行占有的，每延期一天应赔偿甲方损失10万元。</w:t>
      </w:r>
    </w:p>
    <w:p w14:paraId="5A3080B4">
      <w:pPr>
        <w:spacing w:line="480" w:lineRule="exact"/>
        <w:rPr>
          <w:rFonts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十、固定资产的添加或改造</w:t>
      </w:r>
    </w:p>
    <w:p w14:paraId="172FD0D1">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承包期间，需要投资对现有生产线及配套设备设施进行技术改造的，乙方需提出书面申请，经甲方书面同意，方可进行，全部费用由乙方自行承担。若未经甲方许可，乙方擅自对设备设施进行改造的，甲方有权要求乙方恢复原样，给甲方造成损失的，甲方有权要求赔偿。</w:t>
      </w:r>
    </w:p>
    <w:p w14:paraId="7E54143C">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（二）乙方添加、改造固定资产单项投资额大于10万元的，需向甲方提交技术改造的方案、设计、施工图和投资预算等文件，经甲方审核确认并书面同意后方可进行。</w:t>
      </w:r>
    </w:p>
    <w:p w14:paraId="641C3459">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三）乙方对固定资产添加或改造的资产所有权归属和处置办法。乙方添加和改造的设备、设施与甲方设备设施形成附合的，承包期满，该设备和设施的所有权归甲方所有；其中单项投资额大于10万元的，承包期满后甲方按净值（年折旧率按20％计算)给予补偿，单项投资额不大于10万元，无偿归甲方所有；未能附合甲方生产线的或甲方不同意利用的，</w:t>
      </w:r>
      <w:r>
        <w:rPr>
          <w:rFonts w:hint="eastAsia" w:ascii="仿宋_GB2312" w:hAnsi="仿宋_GB2312" w:eastAsia="仿宋_GB2312" w:cs="仿宋_GB2312"/>
          <w:color w:val="auto"/>
          <w:sz w:val="28"/>
          <w:szCs w:val="28"/>
          <w:highlight w:val="none"/>
        </w:rPr>
        <w:t>由乙方自行拆除，恢复原状。</w:t>
      </w:r>
      <w:r>
        <w:rPr>
          <w:rFonts w:hint="eastAsia" w:ascii="仿宋_GB2312" w:hAnsi="仿宋_GB2312" w:eastAsia="仿宋_GB2312" w:cs="仿宋_GB2312"/>
          <w:color w:val="auto"/>
          <w:sz w:val="28"/>
          <w:szCs w:val="28"/>
          <w:highlight w:val="none"/>
        </w:rPr>
        <w:t>由乙方于合同期满或解除之日起10日内自行拆除，恢复原状，否则每延期一天应赔偿方损失10万元。。</w:t>
      </w:r>
    </w:p>
    <w:p w14:paraId="2332BC1D">
      <w:pPr>
        <w:spacing w:line="480" w:lineRule="exact"/>
        <w:ind w:left="840" w:hanging="840" w:hangingChars="300"/>
        <w:rPr>
          <w:rFonts w:ascii="仿宋_GB2312" w:hAnsi="仿宋_GB2312" w:eastAsia="仿宋_GB2312" w:cs="仿宋_GB2312"/>
          <w:color w:val="auto"/>
          <w:sz w:val="28"/>
          <w:szCs w:val="28"/>
          <w:highlight w:val="none"/>
        </w:rPr>
      </w:pPr>
    </w:p>
    <w:p w14:paraId="3FF99E74">
      <w:pPr>
        <w:spacing w:line="480" w:lineRule="exact"/>
        <w:rPr>
          <w:rFonts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十一、其他约定</w:t>
      </w:r>
    </w:p>
    <w:p w14:paraId="759D076C">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（一）在承包期间，甲方生产许可证、排污许可证续证，</w:t>
      </w:r>
      <w:r>
        <w:rPr>
          <w:rFonts w:hint="eastAsia" w:ascii="仿宋_GB2312" w:hAnsi="仿宋_GB2312" w:eastAsia="仿宋_GB2312" w:cs="仿宋_GB2312"/>
          <w:color w:val="auto"/>
          <w:sz w:val="28"/>
          <w:szCs w:val="28"/>
          <w:highlight w:val="none"/>
        </w:rPr>
        <w:t>由乙方办理并承担所有费用，甲方应积极配合并负责提供相应材料</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若由于甲方自身原因无法续证的，甲方将履约保证金退还乙方，本合同终止；若由于乙方原因造成无法续证或生产许可证、排污许可证被吊销的，</w:t>
      </w:r>
      <w:r>
        <w:rPr>
          <w:rFonts w:hint="eastAsia" w:ascii="仿宋_GB2312" w:hAnsi="仿宋_GB2312" w:eastAsia="仿宋_GB2312" w:cs="仿宋_GB2312"/>
          <w:color w:val="auto"/>
          <w:sz w:val="28"/>
          <w:szCs w:val="28"/>
          <w:highlight w:val="none"/>
        </w:rPr>
        <w:t>乙方全部履约保证金不予退还并赔偿甲方全部损失。</w:t>
      </w:r>
    </w:p>
    <w:p w14:paraId="58FA2172">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（二）现有备品备件由甲方继续库存或自行处理，乙方若有需要，甲方也可以按不低于成本价让售给乙方。</w:t>
      </w:r>
    </w:p>
    <w:p w14:paraId="1D07288A">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（三）本合同与《委托加工生产水泥业务合同》互为关联及互相保证合同。</w:t>
      </w:r>
    </w:p>
    <w:p w14:paraId="58EDFE9C">
      <w:pPr>
        <w:spacing w:line="480" w:lineRule="exact"/>
        <w:rPr>
          <w:rFonts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十二、履约保证金</w:t>
      </w:r>
    </w:p>
    <w:p w14:paraId="3FCF7604">
      <w:pPr>
        <w:spacing w:line="480" w:lineRule="exact"/>
        <w:ind w:left="838" w:leftChars="399"/>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乙方提供人民币600万元作为本合同履约保证金（合同期间不计息），在本合同签订后3日内以现金汇入甲方指定的账户（开户名称：福建省宁德建福建材有限公司，开户银行：中国银行福安支行，开户账号：4182 6214 2891）。若乙方违约，甲方有权将赔偿金、违约金在履约保证金中扣除，扣除后履约保证金不足600万元的部分，乙方应在7日内补足。合同期满，乙方无违约情形的，甲方将保证金不计息于30日内退回给乙方。</w:t>
      </w:r>
    </w:p>
    <w:p w14:paraId="2EFCE306">
      <w:pPr>
        <w:spacing w:line="480" w:lineRule="exact"/>
        <w:rPr>
          <w:rFonts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十三、违约责任</w:t>
      </w:r>
    </w:p>
    <w:p w14:paraId="634E518F">
      <w:pPr>
        <w:spacing w:line="480" w:lineRule="exact"/>
        <w:ind w:left="838" w:leftChars="399"/>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任何一方违反本合同中的任何条款，即构成违约。违约方应向</w:t>
      </w:r>
      <w:r>
        <w:rPr>
          <w:rFonts w:hint="eastAsia" w:ascii="仿宋_GB2312" w:hAnsi="仿宋_GB2312" w:eastAsia="仿宋_GB2312" w:cs="仿宋_GB2312"/>
          <w:color w:val="auto"/>
          <w:sz w:val="28"/>
          <w:szCs w:val="28"/>
          <w:highlight w:val="none"/>
        </w:rPr>
        <w:t>对方依法承担违约责任，并赔偿因其违约给对方造成的损失。</w:t>
      </w:r>
    </w:p>
    <w:p w14:paraId="00EE383B">
      <w:pPr>
        <w:spacing w:line="480" w:lineRule="exact"/>
        <w:ind w:left="838" w:leftChars="399"/>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除本合同其他条款已有约定外，双方特别就以下事项明确违约责任：</w:t>
      </w:r>
    </w:p>
    <w:p w14:paraId="29EAEE13">
      <w:pPr>
        <w:spacing w:line="480" w:lineRule="exac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（一）产品质量责任</w:t>
      </w:r>
    </w:p>
    <w:p w14:paraId="38589316">
      <w:pPr>
        <w:spacing w:line="480" w:lineRule="exact"/>
        <w:ind w:left="838" w:leftChars="399"/>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若乙方生产的水泥产品不符合国家或行业标准，或未达到甲方设定的技术指标，或引发重大质量事故（以更严格的标准为准），由此给甲方带来的责任和损失，乙方应承担全部赔偿责任。同时，甲方有权依据违约情况，从履约保证金中扣除相应的违约金，违约金将按实际损失进行计算。此外，甲方保留终止合同的权利。</w:t>
      </w:r>
    </w:p>
    <w:p w14:paraId="696EEDB7">
      <w:pPr>
        <w:spacing w:line="480" w:lineRule="exac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（二）环境保护责任</w:t>
      </w:r>
    </w:p>
    <w:p w14:paraId="0A6C7CB9">
      <w:pPr>
        <w:spacing w:line="480" w:lineRule="exact"/>
        <w:ind w:left="838" w:leftChars="399"/>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因乙方操作不当导致环保超标排放及固废违规处置等问题，乙方需承担全部行政处罚金及整改费用。</w:t>
      </w:r>
    </w:p>
    <w:p w14:paraId="02F78CD1">
      <w:pPr>
        <w:spacing w:line="480" w:lineRule="exact"/>
        <w:rPr>
          <w:rFonts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十四、不可抗力</w:t>
      </w:r>
    </w:p>
    <w:p w14:paraId="446445C8">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（一）发生不可抗力事件时，受阻方应在不可抗力发生时5日内通知另一方。</w:t>
      </w:r>
    </w:p>
    <w:p w14:paraId="0F95A31A">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（二）承包期间，如发生不可抗力导致本合同无法继续履行，甲乙双方应当及时采取有效措施避免损失扩大，在取得甲乙双方认可的权威机构出具的相关证明后，双方互不追究违约责任。</w:t>
      </w:r>
    </w:p>
    <w:p w14:paraId="6096B1A7">
      <w:pPr>
        <w:spacing w:line="480" w:lineRule="exact"/>
        <w:rPr>
          <w:rFonts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十五、合同生效、变更及终止</w:t>
      </w:r>
    </w:p>
    <w:p w14:paraId="441FC960">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（一）本合同经甲乙双方签字盖章之日起生效。若与本合同关联的《委托加工生产水泥业务合同》解除或终止，则本合同自行解除或终止。</w:t>
      </w:r>
    </w:p>
    <w:p w14:paraId="2B57A431">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（二）本合同执行过程中，遇有客观情况发生变化，一方认为有必要对本合同进行修改或变更且另一方认为合理可行时，双方可在协商一致的基础上以书面形式对本协议进行修改或变更。</w:t>
      </w:r>
    </w:p>
    <w:p w14:paraId="2DEB7DAC">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（三）本合同到期后，若甲方有意续展，乙方在同等条件下，具有优先权，若双方不再续展，则本合同终止。</w:t>
      </w:r>
    </w:p>
    <w:p w14:paraId="35E2B97F">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（四）由于下列原因，造成加工生产水泥业务合同不能继续履行，则本合同终止，双方均不承担违约责任：</w:t>
      </w:r>
    </w:p>
    <w:p w14:paraId="7058EA4C">
      <w:pPr>
        <w:spacing w:line="480" w:lineRule="exact"/>
        <w:ind w:left="838" w:leftChars="399"/>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1.城市建设规划或城市更新改造需要拆迁或土地收储；</w:t>
      </w:r>
    </w:p>
    <w:p w14:paraId="675AD223">
      <w:pPr>
        <w:spacing w:line="480" w:lineRule="exact"/>
        <w:ind w:left="838" w:leftChars="399"/>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2.法律、法规、政策调整，或生产许可证到期无法续证的，或发生不可抗力；</w:t>
      </w:r>
    </w:p>
    <w:p w14:paraId="58A8842F">
      <w:pPr>
        <w:spacing w:line="480" w:lineRule="exact"/>
        <w:ind w:left="838" w:leftChars="399"/>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3.企业改制、分立、合并、重组、产权转让、资产转让等，导致本合同无法继续履行的。</w:t>
      </w:r>
    </w:p>
    <w:p w14:paraId="0067ECE4">
      <w:pPr>
        <w:spacing w:line="480" w:lineRule="exact"/>
        <w:rPr>
          <w:rFonts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十六、通知和送达</w:t>
      </w:r>
    </w:p>
    <w:p w14:paraId="43AB7B00">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本合同约定必须发出的任何书面文件或通知，应以专递或者电子邮箱形式发出，送至本合同之首页所列各方的通讯地址或邮箱；如采用电子邮箱方式，发送成功即视为送达和收到之日；如采用专递方式，专递人员将上述文件或通知送达收件人地址之日，即视为送达和收到之日。</w:t>
      </w:r>
    </w:p>
    <w:p w14:paraId="2371BE74">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（二）如果联系方式之任何一项发生变更，相关方应在变更后5日内将更改后的联系方式按本条的约定书面通知对方。若一方怠于履行通知义务，将承担送达不能的法律后果。</w:t>
      </w:r>
    </w:p>
    <w:p w14:paraId="345809D3">
      <w:pPr>
        <w:spacing w:line="480" w:lineRule="exact"/>
        <w:rPr>
          <w:rFonts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十七、其它事项</w:t>
      </w:r>
    </w:p>
    <w:p w14:paraId="061A5619">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（一）一方依据本合同约定或法律法规提前解除合同的，解除合同通知自文件送达之日起生效。</w:t>
      </w:r>
    </w:p>
    <w:p w14:paraId="216FCDF4">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（二）本合同未尽事宜由双方共同协商解决，经双方协商一致签订的补充合同及附件与本合同具同等效力。</w:t>
      </w:r>
    </w:p>
    <w:p w14:paraId="48F63992">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（三）双方互相尊重对方的知识产权和技术秘密，不得向第三方转让和泄露技术文件、技术数据、操作要领等。</w:t>
      </w:r>
    </w:p>
    <w:p w14:paraId="25D857B6">
      <w:pPr>
        <w:spacing w:line="480" w:lineRule="exac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（四）合同履行存在争议的，均应通过友好协商解决，协商不成的，任何一方均有权向厦门仲裁委员会提请仲裁。</w:t>
      </w:r>
    </w:p>
    <w:p w14:paraId="59143A4D">
      <w:pPr>
        <w:spacing w:line="480" w:lineRule="exac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28"/>
          <w:szCs w:val="28"/>
          <w:highlight w:val="none"/>
        </w:rPr>
        <w:t>（五）本合同一式陆份，甲乙双方各持叁份。</w:t>
      </w:r>
    </w:p>
    <w:p w14:paraId="2AEA1FAD">
      <w:pPr>
        <w:spacing w:line="480" w:lineRule="exac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附件1：安全生产管理协议</w:t>
      </w:r>
    </w:p>
    <w:p w14:paraId="5608C4EA">
      <w:pPr>
        <w:spacing w:line="480" w:lineRule="exac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附件2：福建省宁德建福建材有限公司质量管理考核办法</w:t>
      </w:r>
    </w:p>
    <w:p w14:paraId="6A672503">
      <w:pPr>
        <w:spacing w:line="480" w:lineRule="exact"/>
        <w:ind w:left="1058" w:hanging="1058" w:hangingChars="378"/>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附件3：福建省宁德建福建材有限公司水泥生产劳务承包期间装备管理考核办法</w:t>
      </w:r>
    </w:p>
    <w:p w14:paraId="091B0708">
      <w:pPr>
        <w:spacing w:line="480" w:lineRule="exac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附件4：水泥磨系统主机设备承包期满后的要求</w:t>
      </w:r>
    </w:p>
    <w:p w14:paraId="3BA96902">
      <w:pPr>
        <w:spacing w:after="50" w:line="480" w:lineRule="exact"/>
        <w:ind w:firstLine="600" w:firstLineChars="200"/>
        <w:rPr>
          <w:rFonts w:ascii="仿宋_GB2312" w:hAnsi="仿宋_GB2312" w:eastAsia="仿宋_GB2312" w:cs="仿宋_GB2312"/>
          <w:color w:val="auto"/>
          <w:sz w:val="30"/>
          <w:szCs w:val="30"/>
          <w:highlight w:val="none"/>
        </w:rPr>
      </w:pPr>
    </w:p>
    <w:p w14:paraId="62EB51D2">
      <w:pPr>
        <w:spacing w:after="50" w:line="480" w:lineRule="exact"/>
        <w:rPr>
          <w:rFonts w:ascii="仿宋_GB2312" w:hAnsi="仿宋_GB2312" w:eastAsia="仿宋_GB2312" w:cs="仿宋_GB2312"/>
          <w:color w:val="auto"/>
          <w:sz w:val="30"/>
          <w:szCs w:val="30"/>
          <w:highlight w:val="none"/>
        </w:rPr>
      </w:pPr>
    </w:p>
    <w:p w14:paraId="69AF9F84">
      <w:pPr>
        <w:spacing w:line="480" w:lineRule="exact"/>
        <w:rPr>
          <w:rFonts w:ascii="仿宋_GB2312" w:hAnsi="仿宋_GB2312" w:eastAsia="仿宋_GB2312" w:cs="仿宋_GB2312"/>
          <w:color w:val="auto"/>
          <w:sz w:val="28"/>
          <w:szCs w:val="28"/>
          <w:highlight w:val="none"/>
        </w:rPr>
      </w:pPr>
    </w:p>
    <w:p w14:paraId="62257FF3">
      <w:pPr>
        <w:spacing w:line="480" w:lineRule="exact"/>
        <w:rPr>
          <w:rFonts w:ascii="仿宋_GB2312" w:hAnsi="仿宋_GB2312" w:eastAsia="仿宋_GB2312" w:cs="仿宋_GB2312"/>
          <w:color w:val="auto"/>
          <w:sz w:val="28"/>
          <w:szCs w:val="28"/>
          <w:highlight w:val="none"/>
        </w:rPr>
      </w:pPr>
    </w:p>
    <w:p w14:paraId="439CF8CD">
      <w:pPr>
        <w:spacing w:line="480" w:lineRule="exact"/>
        <w:rPr>
          <w:rFonts w:ascii="仿宋_GB2312" w:hAnsi="仿宋_GB2312" w:eastAsia="仿宋_GB2312" w:cs="仿宋_GB2312"/>
          <w:color w:val="auto"/>
          <w:sz w:val="28"/>
          <w:szCs w:val="28"/>
          <w:highlight w:val="none"/>
        </w:rPr>
      </w:pPr>
    </w:p>
    <w:tbl>
      <w:tblPr>
        <w:tblStyle w:val="7"/>
        <w:tblpPr w:leftFromText="180" w:rightFromText="180" w:vertAnchor="page" w:horzAnchor="margin" w:tblpY="1111"/>
        <w:tblW w:w="8211" w:type="dxa"/>
        <w:tblInd w:w="0" w:type="dxa"/>
        <w:tblLayout w:type="autofit"/>
        <w:tblCellMar>
          <w:top w:w="0" w:type="dxa"/>
          <w:left w:w="108" w:type="dxa"/>
          <w:bottom w:w="0" w:type="dxa"/>
          <w:right w:w="108" w:type="dxa"/>
        </w:tblCellMar>
      </w:tblPr>
      <w:tblGrid>
        <w:gridCol w:w="4105"/>
        <w:gridCol w:w="4106"/>
      </w:tblGrid>
      <w:tr w14:paraId="4974C366">
        <w:tblPrEx>
          <w:tblCellMar>
            <w:top w:w="0" w:type="dxa"/>
            <w:left w:w="108" w:type="dxa"/>
            <w:bottom w:w="0" w:type="dxa"/>
            <w:right w:w="108" w:type="dxa"/>
          </w:tblCellMar>
        </w:tblPrEx>
        <w:trPr>
          <w:trHeight w:val="851" w:hRule="atLeast"/>
        </w:trPr>
        <w:tc>
          <w:tcPr>
            <w:tcW w:w="4105" w:type="dxa"/>
          </w:tcPr>
          <w:p w14:paraId="2BAE016F">
            <w:pP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发 包 方：</w:t>
            </w:r>
          </w:p>
          <w:p w14:paraId="1222D638">
            <w:pP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福建省宁德建福建材有限公司</w:t>
            </w:r>
          </w:p>
        </w:tc>
        <w:tc>
          <w:tcPr>
            <w:tcW w:w="4106" w:type="dxa"/>
          </w:tcPr>
          <w:p w14:paraId="112B95F9">
            <w:pP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承 包 方：</w:t>
            </w:r>
          </w:p>
          <w:p w14:paraId="2857063F">
            <w:pPr>
              <w:rPr>
                <w:rFonts w:ascii="仿宋_GB2312" w:hAnsi="仿宋_GB2312" w:eastAsia="仿宋_GB2312" w:cs="仿宋_GB2312"/>
                <w:color w:val="auto"/>
                <w:sz w:val="28"/>
                <w:szCs w:val="28"/>
                <w:highlight w:val="none"/>
              </w:rPr>
            </w:pPr>
          </w:p>
        </w:tc>
      </w:tr>
      <w:tr w14:paraId="6B963E05">
        <w:tblPrEx>
          <w:tblCellMar>
            <w:top w:w="0" w:type="dxa"/>
            <w:left w:w="108" w:type="dxa"/>
            <w:bottom w:w="0" w:type="dxa"/>
            <w:right w:w="108" w:type="dxa"/>
          </w:tblCellMar>
        </w:tblPrEx>
        <w:trPr>
          <w:trHeight w:val="510" w:hRule="atLeast"/>
        </w:trPr>
        <w:tc>
          <w:tcPr>
            <w:tcW w:w="4105" w:type="dxa"/>
            <w:vAlign w:val="center"/>
          </w:tcPr>
          <w:p w14:paraId="7110752B">
            <w:pP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法定代表人：李日亮</w:t>
            </w:r>
          </w:p>
        </w:tc>
        <w:tc>
          <w:tcPr>
            <w:tcW w:w="4106" w:type="dxa"/>
            <w:vAlign w:val="center"/>
          </w:tcPr>
          <w:p w14:paraId="58E8A59C">
            <w:pP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法定代表人：</w:t>
            </w:r>
          </w:p>
        </w:tc>
      </w:tr>
      <w:tr w14:paraId="58C1A35B">
        <w:tblPrEx>
          <w:tblCellMar>
            <w:top w:w="0" w:type="dxa"/>
            <w:left w:w="108" w:type="dxa"/>
            <w:bottom w:w="0" w:type="dxa"/>
            <w:right w:w="108" w:type="dxa"/>
          </w:tblCellMar>
        </w:tblPrEx>
        <w:trPr>
          <w:trHeight w:val="510" w:hRule="atLeast"/>
        </w:trPr>
        <w:tc>
          <w:tcPr>
            <w:tcW w:w="4105" w:type="dxa"/>
            <w:vAlign w:val="center"/>
          </w:tcPr>
          <w:p w14:paraId="7B76213F">
            <w:pP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联系人：</w:t>
            </w:r>
          </w:p>
        </w:tc>
        <w:tc>
          <w:tcPr>
            <w:tcW w:w="4106" w:type="dxa"/>
            <w:vAlign w:val="center"/>
          </w:tcPr>
          <w:p w14:paraId="1D3627F6">
            <w:pP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联系人：</w:t>
            </w:r>
          </w:p>
        </w:tc>
      </w:tr>
      <w:tr w14:paraId="7BF417C5">
        <w:tblPrEx>
          <w:tblCellMar>
            <w:top w:w="0" w:type="dxa"/>
            <w:left w:w="108" w:type="dxa"/>
            <w:bottom w:w="0" w:type="dxa"/>
            <w:right w:w="108" w:type="dxa"/>
          </w:tblCellMar>
        </w:tblPrEx>
        <w:trPr>
          <w:trHeight w:val="510" w:hRule="atLeast"/>
        </w:trPr>
        <w:tc>
          <w:tcPr>
            <w:tcW w:w="4105" w:type="dxa"/>
            <w:vAlign w:val="center"/>
          </w:tcPr>
          <w:p w14:paraId="0A0A992B">
            <w:pP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邮  箱：</w:t>
            </w:r>
          </w:p>
        </w:tc>
        <w:tc>
          <w:tcPr>
            <w:tcW w:w="4106" w:type="dxa"/>
            <w:vAlign w:val="center"/>
          </w:tcPr>
          <w:p w14:paraId="155E0FEE">
            <w:pPr>
              <w:spacing w:before="100" w:beforeAutospacing="1" w:after="100" w:afterAutospacing="1" w:line="300" w:lineRule="atLeas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邮  箱：</w:t>
            </w:r>
          </w:p>
        </w:tc>
      </w:tr>
      <w:tr w14:paraId="6536131F">
        <w:tblPrEx>
          <w:tblCellMar>
            <w:top w:w="0" w:type="dxa"/>
            <w:left w:w="108" w:type="dxa"/>
            <w:bottom w:w="0" w:type="dxa"/>
            <w:right w:w="108" w:type="dxa"/>
          </w:tblCellMar>
        </w:tblPrEx>
        <w:trPr>
          <w:trHeight w:val="510" w:hRule="atLeast"/>
        </w:trPr>
        <w:tc>
          <w:tcPr>
            <w:tcW w:w="4105" w:type="dxa"/>
            <w:vAlign w:val="center"/>
          </w:tcPr>
          <w:p w14:paraId="0C127E9A">
            <w:pP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联系电话：</w:t>
            </w:r>
            <w:r>
              <w:rPr>
                <w:rFonts w:hint="eastAsia" w:ascii="仿宋_GB2312" w:hAnsi="仿宋_GB2312" w:eastAsia="仿宋_GB2312" w:cs="仿宋_GB2312"/>
                <w:color w:val="auto"/>
                <w:kern w:val="0"/>
                <w:sz w:val="28"/>
                <w:szCs w:val="28"/>
                <w:highlight w:val="none"/>
              </w:rPr>
              <w:t>0593-6651766</w:t>
            </w:r>
          </w:p>
        </w:tc>
        <w:tc>
          <w:tcPr>
            <w:tcW w:w="4106" w:type="dxa"/>
            <w:vAlign w:val="center"/>
          </w:tcPr>
          <w:p w14:paraId="5599DC42">
            <w:pPr>
              <w:spacing w:before="100" w:beforeAutospacing="1" w:after="100" w:afterAutospacing="1" w:line="300" w:lineRule="atLeast"/>
              <w:rPr>
                <w:rFonts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sz w:val="28"/>
                <w:szCs w:val="28"/>
                <w:highlight w:val="none"/>
              </w:rPr>
              <w:t>联系电话：</w:t>
            </w:r>
          </w:p>
        </w:tc>
      </w:tr>
      <w:tr w14:paraId="74966D9F">
        <w:tblPrEx>
          <w:tblCellMar>
            <w:top w:w="0" w:type="dxa"/>
            <w:left w:w="108" w:type="dxa"/>
            <w:bottom w:w="0" w:type="dxa"/>
            <w:right w:w="108" w:type="dxa"/>
          </w:tblCellMar>
        </w:tblPrEx>
        <w:trPr>
          <w:trHeight w:val="510" w:hRule="atLeast"/>
        </w:trPr>
        <w:tc>
          <w:tcPr>
            <w:tcW w:w="4105" w:type="dxa"/>
            <w:vAlign w:val="center"/>
          </w:tcPr>
          <w:p w14:paraId="5776FBF8">
            <w:pP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地    址：</w:t>
            </w:r>
            <w:r>
              <w:rPr>
                <w:rFonts w:hint="eastAsia" w:ascii="仿宋_GB2312" w:hAnsi="仿宋_GB2312" w:eastAsia="仿宋_GB2312" w:cs="仿宋_GB2312"/>
                <w:color w:val="auto"/>
                <w:kern w:val="0"/>
                <w:sz w:val="28"/>
                <w:szCs w:val="28"/>
                <w:highlight w:val="none"/>
              </w:rPr>
              <w:t>福建省福安市湾坞镇梅洋村148号</w:t>
            </w:r>
          </w:p>
        </w:tc>
        <w:tc>
          <w:tcPr>
            <w:tcW w:w="4106" w:type="dxa"/>
            <w:vAlign w:val="center"/>
          </w:tcPr>
          <w:p w14:paraId="6F72FD62">
            <w:pP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地    址：</w:t>
            </w:r>
          </w:p>
        </w:tc>
      </w:tr>
      <w:tr w14:paraId="06AC4F74">
        <w:tblPrEx>
          <w:tblCellMar>
            <w:top w:w="0" w:type="dxa"/>
            <w:left w:w="108" w:type="dxa"/>
            <w:bottom w:w="0" w:type="dxa"/>
            <w:right w:w="108" w:type="dxa"/>
          </w:tblCellMar>
        </w:tblPrEx>
        <w:trPr>
          <w:trHeight w:val="510" w:hRule="atLeast"/>
        </w:trPr>
        <w:tc>
          <w:tcPr>
            <w:tcW w:w="4105" w:type="dxa"/>
            <w:vAlign w:val="center"/>
          </w:tcPr>
          <w:p w14:paraId="64AE5512">
            <w:pP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开户银行：</w:t>
            </w:r>
            <w:r>
              <w:rPr>
                <w:rFonts w:hint="eastAsia" w:ascii="仿宋_GB2312" w:hAnsi="仿宋_GB2312" w:eastAsia="仿宋_GB2312" w:cs="仿宋_GB2312"/>
                <w:color w:val="auto"/>
                <w:kern w:val="0"/>
                <w:sz w:val="28"/>
                <w:szCs w:val="28"/>
                <w:highlight w:val="none"/>
              </w:rPr>
              <w:t>中国银行福安支行</w:t>
            </w:r>
          </w:p>
        </w:tc>
        <w:tc>
          <w:tcPr>
            <w:tcW w:w="4106" w:type="dxa"/>
            <w:vAlign w:val="center"/>
          </w:tcPr>
          <w:p w14:paraId="4C3F8636">
            <w:pP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开户银行：</w:t>
            </w:r>
          </w:p>
        </w:tc>
      </w:tr>
      <w:tr w14:paraId="55DD72AE">
        <w:tblPrEx>
          <w:tblCellMar>
            <w:top w:w="0" w:type="dxa"/>
            <w:left w:w="108" w:type="dxa"/>
            <w:bottom w:w="0" w:type="dxa"/>
            <w:right w:w="108" w:type="dxa"/>
          </w:tblCellMar>
        </w:tblPrEx>
        <w:trPr>
          <w:trHeight w:val="510" w:hRule="atLeast"/>
        </w:trPr>
        <w:tc>
          <w:tcPr>
            <w:tcW w:w="4105" w:type="dxa"/>
            <w:vAlign w:val="center"/>
          </w:tcPr>
          <w:p w14:paraId="383AC572">
            <w:pP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开户账号：</w:t>
            </w:r>
            <w:r>
              <w:rPr>
                <w:rFonts w:hint="eastAsia" w:ascii="仿宋_GB2312" w:hAnsi="仿宋_GB2312" w:eastAsia="仿宋_GB2312" w:cs="仿宋_GB2312"/>
                <w:color w:val="auto"/>
                <w:kern w:val="0"/>
                <w:sz w:val="28"/>
                <w:szCs w:val="28"/>
                <w:highlight w:val="none"/>
              </w:rPr>
              <w:t>418262142891</w:t>
            </w:r>
          </w:p>
        </w:tc>
        <w:tc>
          <w:tcPr>
            <w:tcW w:w="4106" w:type="dxa"/>
            <w:vAlign w:val="center"/>
          </w:tcPr>
          <w:p w14:paraId="2D4AD1A7">
            <w:pP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开户账号：</w:t>
            </w:r>
          </w:p>
        </w:tc>
      </w:tr>
      <w:tr w14:paraId="0132EE94">
        <w:tblPrEx>
          <w:tblCellMar>
            <w:top w:w="0" w:type="dxa"/>
            <w:left w:w="108" w:type="dxa"/>
            <w:bottom w:w="0" w:type="dxa"/>
            <w:right w:w="108" w:type="dxa"/>
          </w:tblCellMar>
        </w:tblPrEx>
        <w:trPr>
          <w:trHeight w:val="510" w:hRule="atLeast"/>
        </w:trPr>
        <w:tc>
          <w:tcPr>
            <w:tcW w:w="4105" w:type="dxa"/>
            <w:vAlign w:val="center"/>
          </w:tcPr>
          <w:p w14:paraId="1AC787A3">
            <w:pP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税    号：913509815917385597</w:t>
            </w:r>
          </w:p>
        </w:tc>
        <w:tc>
          <w:tcPr>
            <w:tcW w:w="4106" w:type="dxa"/>
            <w:vAlign w:val="center"/>
          </w:tcPr>
          <w:p w14:paraId="3CB09643">
            <w:pP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税    号：</w:t>
            </w:r>
          </w:p>
        </w:tc>
      </w:tr>
      <w:tr w14:paraId="21537F0E">
        <w:tblPrEx>
          <w:tblCellMar>
            <w:top w:w="0" w:type="dxa"/>
            <w:left w:w="108" w:type="dxa"/>
            <w:bottom w:w="0" w:type="dxa"/>
            <w:right w:w="108" w:type="dxa"/>
          </w:tblCellMar>
        </w:tblPrEx>
        <w:trPr>
          <w:trHeight w:val="510" w:hRule="atLeast"/>
        </w:trPr>
        <w:tc>
          <w:tcPr>
            <w:tcW w:w="4105" w:type="dxa"/>
            <w:vAlign w:val="center"/>
          </w:tcPr>
          <w:p w14:paraId="6C2DDACB">
            <w:pP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邮政编码：</w:t>
            </w:r>
            <w:r>
              <w:rPr>
                <w:rFonts w:hint="eastAsia" w:ascii="仿宋_GB2312" w:hAnsi="仿宋_GB2312" w:eastAsia="仿宋_GB2312" w:cs="仿宋_GB2312"/>
                <w:color w:val="auto"/>
                <w:kern w:val="0"/>
                <w:sz w:val="28"/>
                <w:szCs w:val="28"/>
                <w:highlight w:val="none"/>
              </w:rPr>
              <w:t>355006</w:t>
            </w:r>
          </w:p>
        </w:tc>
        <w:tc>
          <w:tcPr>
            <w:tcW w:w="4106" w:type="dxa"/>
            <w:vAlign w:val="center"/>
          </w:tcPr>
          <w:p w14:paraId="3F4D74C0">
            <w:pP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邮政编码：</w:t>
            </w:r>
          </w:p>
        </w:tc>
      </w:tr>
    </w:tbl>
    <w:p w14:paraId="7D291A05">
      <w:pPr>
        <w:spacing w:line="480" w:lineRule="exact"/>
        <w:rPr>
          <w:rFonts w:ascii="仿宋_GB2312" w:hAnsi="仿宋_GB2312" w:eastAsia="仿宋_GB2312" w:cs="仿宋_GB2312"/>
          <w:color w:val="auto"/>
          <w:sz w:val="28"/>
          <w:szCs w:val="28"/>
          <w:highlight w:val="none"/>
        </w:rPr>
      </w:pPr>
    </w:p>
    <w:p w14:paraId="543951A6">
      <w:pPr>
        <w:spacing w:line="480" w:lineRule="exact"/>
        <w:rPr>
          <w:rFonts w:ascii="仿宋_GB2312" w:hAnsi="仿宋_GB2312" w:eastAsia="仿宋_GB2312" w:cs="仿宋_GB2312"/>
          <w:color w:val="auto"/>
          <w:sz w:val="28"/>
          <w:szCs w:val="28"/>
          <w:highlight w:val="none"/>
        </w:rPr>
      </w:pPr>
    </w:p>
    <w:p w14:paraId="7C42689B">
      <w:pPr>
        <w:spacing w:line="480" w:lineRule="exact"/>
        <w:rPr>
          <w:rFonts w:ascii="仿宋_GB2312" w:hAnsi="仿宋_GB2312" w:eastAsia="仿宋_GB2312" w:cs="仿宋_GB2312"/>
          <w:color w:val="auto"/>
          <w:sz w:val="28"/>
          <w:szCs w:val="28"/>
          <w:highlight w:val="none"/>
        </w:rPr>
      </w:pPr>
    </w:p>
    <w:p w14:paraId="50EC0594">
      <w:pPr>
        <w:spacing w:line="480" w:lineRule="exact"/>
        <w:rPr>
          <w:rFonts w:ascii="仿宋_GB2312" w:hAnsi="仿宋_GB2312" w:eastAsia="仿宋_GB2312" w:cs="仿宋_GB2312"/>
          <w:color w:val="auto"/>
          <w:sz w:val="28"/>
          <w:szCs w:val="28"/>
          <w:highlight w:val="none"/>
        </w:rPr>
      </w:pPr>
    </w:p>
    <w:p w14:paraId="2FBB14BC">
      <w:pPr>
        <w:spacing w:line="480" w:lineRule="exact"/>
        <w:rPr>
          <w:rFonts w:ascii="仿宋_GB2312" w:hAnsi="仿宋_GB2312" w:eastAsia="仿宋_GB2312" w:cs="仿宋_GB2312"/>
          <w:color w:val="auto"/>
          <w:sz w:val="28"/>
          <w:szCs w:val="28"/>
          <w:highlight w:val="none"/>
        </w:rPr>
      </w:pPr>
    </w:p>
    <w:p w14:paraId="4DC3F52E">
      <w:pPr>
        <w:spacing w:line="480" w:lineRule="exact"/>
        <w:rPr>
          <w:rFonts w:ascii="仿宋_GB2312" w:hAnsi="仿宋_GB2312" w:eastAsia="仿宋_GB2312" w:cs="仿宋_GB2312"/>
          <w:color w:val="auto"/>
          <w:sz w:val="28"/>
          <w:szCs w:val="28"/>
          <w:highlight w:val="none"/>
        </w:rPr>
      </w:pPr>
    </w:p>
    <w:p w14:paraId="07D8734B">
      <w:pPr>
        <w:spacing w:line="480" w:lineRule="exact"/>
        <w:rPr>
          <w:rFonts w:ascii="仿宋_GB2312" w:hAnsi="仿宋_GB2312" w:eastAsia="仿宋_GB2312" w:cs="仿宋_GB2312"/>
          <w:color w:val="auto"/>
          <w:sz w:val="28"/>
          <w:szCs w:val="28"/>
          <w:highlight w:val="none"/>
        </w:rPr>
      </w:pPr>
    </w:p>
    <w:p w14:paraId="120DD2D4">
      <w:pPr>
        <w:spacing w:line="480" w:lineRule="exact"/>
        <w:rPr>
          <w:rFonts w:ascii="仿宋_GB2312" w:hAnsi="仿宋_GB2312" w:eastAsia="仿宋_GB2312" w:cs="仿宋_GB2312"/>
          <w:color w:val="auto"/>
          <w:sz w:val="28"/>
          <w:szCs w:val="28"/>
          <w:highlight w:val="none"/>
        </w:rPr>
      </w:pPr>
    </w:p>
    <w:p w14:paraId="030DE43D">
      <w:pPr>
        <w:spacing w:line="480" w:lineRule="exact"/>
        <w:rPr>
          <w:rFonts w:ascii="仿宋_GB2312" w:hAnsi="仿宋_GB2312" w:eastAsia="仿宋_GB2312" w:cs="仿宋_GB2312"/>
          <w:color w:val="auto"/>
          <w:sz w:val="28"/>
          <w:szCs w:val="28"/>
          <w:highlight w:val="none"/>
        </w:rPr>
      </w:pPr>
    </w:p>
    <w:p w14:paraId="2E937409">
      <w:pPr>
        <w:spacing w:line="480" w:lineRule="exact"/>
        <w:rPr>
          <w:rFonts w:ascii="仿宋_GB2312" w:hAnsi="仿宋_GB2312" w:eastAsia="仿宋_GB2312" w:cs="仿宋_GB2312"/>
          <w:color w:val="auto"/>
          <w:sz w:val="28"/>
          <w:szCs w:val="28"/>
          <w:highlight w:val="none"/>
        </w:rPr>
      </w:pPr>
    </w:p>
    <w:p w14:paraId="17F8680E">
      <w:pPr>
        <w:spacing w:line="480" w:lineRule="exact"/>
        <w:rPr>
          <w:rFonts w:ascii="仿宋_GB2312" w:hAnsi="仿宋_GB2312" w:eastAsia="仿宋_GB2312" w:cs="仿宋_GB2312"/>
          <w:color w:val="auto"/>
          <w:sz w:val="28"/>
          <w:szCs w:val="28"/>
          <w:highlight w:val="none"/>
        </w:rPr>
      </w:pPr>
    </w:p>
    <w:p w14:paraId="7DD6CB62">
      <w:pPr>
        <w:spacing w:line="480" w:lineRule="exact"/>
        <w:rPr>
          <w:rFonts w:ascii="仿宋_GB2312" w:hAnsi="仿宋_GB2312" w:eastAsia="仿宋_GB2312" w:cs="仿宋_GB2312"/>
          <w:color w:val="auto"/>
          <w:sz w:val="28"/>
          <w:szCs w:val="28"/>
          <w:highlight w:val="none"/>
        </w:rPr>
      </w:pPr>
    </w:p>
    <w:p w14:paraId="09597F18">
      <w:pPr>
        <w:spacing w:line="480" w:lineRule="exact"/>
        <w:rPr>
          <w:rFonts w:ascii="仿宋_GB2312" w:hAnsi="仿宋_GB2312" w:eastAsia="仿宋_GB2312" w:cs="仿宋_GB2312"/>
          <w:color w:val="auto"/>
          <w:sz w:val="28"/>
          <w:szCs w:val="28"/>
          <w:highlight w:val="none"/>
        </w:rPr>
      </w:pPr>
    </w:p>
    <w:p w14:paraId="2234EDFB">
      <w:pPr>
        <w:spacing w:line="480" w:lineRule="exact"/>
        <w:rPr>
          <w:rFonts w:ascii="仿宋_GB2312" w:hAnsi="仿宋_GB2312" w:eastAsia="仿宋_GB2312" w:cs="仿宋_GB2312"/>
          <w:color w:val="auto"/>
          <w:sz w:val="28"/>
          <w:szCs w:val="28"/>
          <w:highlight w:val="none"/>
        </w:rPr>
      </w:pPr>
    </w:p>
    <w:p w14:paraId="23C0DDEA">
      <w:pPr>
        <w:spacing w:line="480" w:lineRule="exac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附件1：</w:t>
      </w:r>
    </w:p>
    <w:p w14:paraId="5A63E064">
      <w:pPr>
        <w:jc w:val="center"/>
        <w:rPr>
          <w:rFonts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安全生产管理协议</w:t>
      </w:r>
    </w:p>
    <w:p w14:paraId="76AB80F4">
      <w:pPr>
        <w:spacing w:line="440" w:lineRule="exact"/>
        <w:jc w:val="center"/>
        <w:rPr>
          <w:rFonts w:ascii="仿宋_GB2312" w:hAnsi="仿宋_GB2312" w:eastAsia="仿宋_GB2312" w:cs="仿宋_GB2312"/>
          <w:b/>
          <w:color w:val="auto"/>
          <w:sz w:val="28"/>
          <w:szCs w:val="28"/>
          <w:highlight w:val="none"/>
        </w:rPr>
      </w:pPr>
    </w:p>
    <w:p w14:paraId="0099497F">
      <w:pPr>
        <w:spacing w:line="480" w:lineRule="exact"/>
        <w:rPr>
          <w:rFonts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甲方（发包方）：福建省宁德建福建材有限公司</w:t>
      </w:r>
    </w:p>
    <w:p w14:paraId="360BAF3F">
      <w:pPr>
        <w:spacing w:line="480" w:lineRule="exact"/>
        <w:rPr>
          <w:rFonts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乙方（承包方）：</w:t>
      </w:r>
    </w:p>
    <w:p w14:paraId="11C7119B">
      <w:pPr>
        <w:autoSpaceDE w:val="0"/>
        <w:autoSpaceDN w:val="0"/>
        <w:adjustRightInd w:val="0"/>
        <w:spacing w:line="48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为加强安全管理,明确甲乙双方的安全生产责任,根据《中华人民共和国安全生产法》以及相关法律法规的要求，特签订本协议。</w:t>
      </w:r>
    </w:p>
    <w:p w14:paraId="4B1643CC">
      <w:pPr>
        <w:autoSpaceDE w:val="0"/>
        <w:autoSpaceDN w:val="0"/>
        <w:adjustRightInd w:val="0"/>
        <w:spacing w:line="480" w:lineRule="exact"/>
        <w:jc w:val="left"/>
        <w:rPr>
          <w:rFonts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一、甲方的权利、责任和义务</w:t>
      </w:r>
    </w:p>
    <w:p w14:paraId="3CD674AF">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（一）贯彻落实国家及地方安全生产的法规和管理规定，对乙方安全生产工作统一协调和监督。有要求乙方对甲方的安全管理工作全面的配合、协助和报告权利。</w:t>
      </w:r>
    </w:p>
    <w:p w14:paraId="5FF67416">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（二）严格审查乙方经营资质或安全生产条件，不得与不具备安全生产条件或相应资质的单位签订合同。</w:t>
      </w:r>
    </w:p>
    <w:p w14:paraId="351084DA">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（三）协助乙方做好从业人员厂纪厂规及安全操作规程培训。如实告知作业现场存在危险危害因素、周围环境以及高处作业、有限空间作业、动火作业、高温作业等危险作业过程的安全防护措施和安全注意事项。</w:t>
      </w:r>
    </w:p>
    <w:p w14:paraId="07F15BF2">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四）对乙方作业区域进行安全生产和文明作业检查；对乙方作业区域内的重大安全事故隐患，有权开具隐患通知单，并责令停止作业；对于从业人员违章作业、违章指挥和违反劳动纪律的行为有权提出批评、指正或处罚。</w:t>
      </w:r>
    </w:p>
    <w:p w14:paraId="08466E73">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（五）对乙方安全生产提供帮助，乙方发生生产安全事故时提供协助救援服务。</w:t>
      </w:r>
    </w:p>
    <w:p w14:paraId="557D4C77">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（六）有权对乙方的安全生产培训、劳动防护用品的使用进行监督落</w:t>
      </w:r>
      <w:r>
        <w:rPr>
          <w:rFonts w:hint="eastAsia" w:ascii="仿宋_GB2312" w:hAnsi="仿宋_GB2312" w:eastAsia="仿宋_GB2312" w:cs="仿宋_GB2312"/>
          <w:color w:val="auto"/>
          <w:sz w:val="28"/>
          <w:szCs w:val="28"/>
          <w:highlight w:val="none"/>
        </w:rPr>
        <w:t>实。</w:t>
      </w:r>
    </w:p>
    <w:p w14:paraId="2F93F465">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（七）由于双方责任造成的生产安全事故，根据政府有关部门的责任认定承担相应的责任。</w:t>
      </w:r>
    </w:p>
    <w:p w14:paraId="6F3417CC">
      <w:pPr>
        <w:spacing w:line="480" w:lineRule="exact"/>
        <w:ind w:left="840" w:hanging="840" w:hangingChars="300"/>
        <w:rPr>
          <w:rFonts w:ascii="仿宋_GB2312" w:hAnsi="仿宋_GB2312" w:eastAsia="仿宋_GB2312" w:cs="仿宋_GB2312"/>
          <w:color w:val="auto"/>
          <w:sz w:val="28"/>
          <w:szCs w:val="28"/>
          <w:highlight w:val="none"/>
        </w:rPr>
      </w:pPr>
    </w:p>
    <w:p w14:paraId="114117EF">
      <w:pPr>
        <w:autoSpaceDE w:val="0"/>
        <w:autoSpaceDN w:val="0"/>
        <w:adjustRightInd w:val="0"/>
        <w:spacing w:line="480" w:lineRule="exact"/>
        <w:jc w:val="left"/>
        <w:rPr>
          <w:rFonts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二、乙方（承包方）的权利、责任和义务</w:t>
      </w:r>
    </w:p>
    <w:p w14:paraId="39983FF9">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（一）贯彻落实国家及地方安全生产的法规和管理规定，建立健全安全生产责任制和安全生产管理制度，对乙方安全生产管理全面负责。对甲方的安全管理工作具有全面的配合、协助和报告责任。</w:t>
      </w:r>
    </w:p>
    <w:p w14:paraId="0E7EF494">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（二）接受甲方的作业资质审查，并负责提供有关资料。严格按照经营资质范围和承包项目范围作业，不得承接超资质范围的工作及任务，不得将承包项目再次进行转包。</w:t>
      </w:r>
    </w:p>
    <w:p w14:paraId="4994D4E5">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（三）遵守甲方有关《安全生产管理规定》、《岗位安全操作规程》、《外包单位管理协议》。</w:t>
      </w:r>
    </w:p>
    <w:p w14:paraId="492E073E">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（四）遵守《外协劳务单位安全管理办法》等安全管理规定，有权拒绝甲方违反安全生产法规的指令。</w:t>
      </w:r>
    </w:p>
    <w:p w14:paraId="3068C114">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（五）对辖区内由甲方提供的安全防护设施负有保护完整的责任。更换、改造必须经甲方同意，改造后应符合安全标准。</w:t>
      </w:r>
    </w:p>
    <w:p w14:paraId="56A39758">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（六）对辖区内的作业用电负有全部管理责任，有权拒绝不符合安全标准的用电设备。</w:t>
      </w:r>
    </w:p>
    <w:p w14:paraId="3FD169B8">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（七）为本单位作业人员提供合格的劳动防护用品，进行危险告知的教育。保证特种作业人员持证上岗，负责建立特种作业人员及员工工作情况、健康状况档案，并向甲方备案。</w:t>
      </w:r>
    </w:p>
    <w:p w14:paraId="6030754B">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（八）按照国家《安全生产法》和有关安全管理法规的规定，及时将《生产安全事故应急救援预案》报甲方备案，负责组织《应急救援预案》演练。</w:t>
      </w:r>
    </w:p>
    <w:p w14:paraId="04F5B5B2">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九）按照有关安全管理规定，配备专职安全生产管理人员，定期组织对所辖作业区域进行安全生产检查。定期组织安全生产培训教育和安全生产活动，确保工人上岗前经过三级安全教育，在安全教育或安全活动中可要求甲方提供帮助。</w:t>
      </w:r>
    </w:p>
    <w:p w14:paraId="29232053">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（十）乙方应按照有关法规规定及时为劳务人员办理工伤保险和意外伤害保险。根据个人需求为其办理社保，费用自理。</w:t>
      </w:r>
    </w:p>
    <w:p w14:paraId="3D08A128">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（十一）使用或借（租）用甲方提供的生产设备、工器具前，双方应办理相关移交手续，确认安全符合作业要求，并负责使用期间的安全维护。对在使用期间由于管理不善造成的生产安全事故负责。</w:t>
      </w:r>
    </w:p>
    <w:p w14:paraId="3B16525C">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（十二）负责所辖作业区域内的文明作业管理工作，保证所辖区域消防安全设施达到要求。</w:t>
      </w:r>
    </w:p>
    <w:p w14:paraId="4FD4E9B5">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（十三）乙方必须对其所属人员加强职业病防护措施，并为劳动者提供个人使用的职业病防护用品（费用乙方自理），乙方人员如有发生职业病事故，由乙方承担全部民事法律责任及经济赔偿。</w:t>
      </w:r>
    </w:p>
    <w:p w14:paraId="7F1365AD">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（十四</w:t>
      </w:r>
      <w:r>
        <w:rPr>
          <w:rFonts w:hint="eastAsia" w:ascii="仿宋_GB2312" w:hAnsi="仿宋_GB2312" w:eastAsia="仿宋_GB2312" w:cs="仿宋_GB2312"/>
          <w:color w:val="auto"/>
          <w:sz w:val="28"/>
          <w:szCs w:val="28"/>
          <w:highlight w:val="none"/>
        </w:rPr>
        <w:t>）由于双方责任造成的生产安全事故，根据当地政府有关部门的责任划分承担相应的责任。</w:t>
      </w:r>
    </w:p>
    <w:p w14:paraId="7412E90D">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（十五）发生生产安全事故后，必须在1小时内向甲方报告，同时按照有关规定向乙方有关主管部门报告。迟报或者隐瞒不报承担事故的全部责任。</w:t>
      </w:r>
    </w:p>
    <w:p w14:paraId="650247D4">
      <w:pPr>
        <w:autoSpaceDE w:val="0"/>
        <w:autoSpaceDN w:val="0"/>
        <w:adjustRightInd w:val="0"/>
        <w:spacing w:line="480" w:lineRule="exact"/>
        <w:jc w:val="left"/>
        <w:rPr>
          <w:rFonts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三、安全生产管理人员</w:t>
      </w:r>
    </w:p>
    <w:p w14:paraId="7307AF43">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（一）甲方指派</w:t>
      </w:r>
      <w:r>
        <w:rPr>
          <w:rFonts w:hint="eastAsia" w:ascii="仿宋_GB2312" w:hAnsi="仿宋_GB2312" w:eastAsia="仿宋_GB2312" w:cs="仿宋_GB2312"/>
          <w:color w:val="auto"/>
          <w:sz w:val="28"/>
          <w:szCs w:val="28"/>
          <w:highlight w:val="none"/>
          <w:u w:val="single"/>
        </w:rPr>
        <w:t xml:space="preserve">             （联系方式：              </w:t>
      </w:r>
      <w:r>
        <w:rPr>
          <w:rFonts w:hint="eastAsia" w:ascii="仿宋_GB2312" w:hAnsi="仿宋_GB2312" w:eastAsia="仿宋_GB2312" w:cs="仿宋_GB2312"/>
          <w:color w:val="auto"/>
          <w:sz w:val="28"/>
          <w:szCs w:val="28"/>
          <w:highlight w:val="none"/>
        </w:rPr>
        <w:t>）为本合同涉及项目的专职安全生产管理人员；</w:t>
      </w:r>
    </w:p>
    <w:p w14:paraId="5A29C425">
      <w:pPr>
        <w:spacing w:line="480" w:lineRule="exact"/>
        <w:ind w:left="840" w:hanging="840" w:hangingChars="3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（二）乙方指派</w:t>
      </w:r>
      <w:r>
        <w:rPr>
          <w:rFonts w:hint="eastAsia" w:ascii="仿宋_GB2312" w:hAnsi="仿宋_GB2312" w:eastAsia="仿宋_GB2312" w:cs="仿宋_GB2312"/>
          <w:color w:val="auto"/>
          <w:sz w:val="28"/>
          <w:szCs w:val="28"/>
          <w:highlight w:val="none"/>
          <w:u w:val="single"/>
        </w:rPr>
        <w:t xml:space="preserve">             （联系方式：              </w:t>
      </w:r>
      <w:r>
        <w:rPr>
          <w:rFonts w:hint="eastAsia" w:ascii="仿宋_GB2312" w:hAnsi="仿宋_GB2312" w:eastAsia="仿宋_GB2312" w:cs="仿宋_GB2312"/>
          <w:color w:val="auto"/>
          <w:sz w:val="28"/>
          <w:szCs w:val="28"/>
          <w:highlight w:val="none"/>
        </w:rPr>
        <w:t>）为本合同涉及项目的专职安全生产管理人员。</w:t>
      </w:r>
    </w:p>
    <w:p w14:paraId="069A7FBC">
      <w:pPr>
        <w:spacing w:line="480" w:lineRule="exact"/>
        <w:ind w:left="840" w:hanging="840" w:hangingChars="300"/>
        <w:rPr>
          <w:rFonts w:ascii="仿宋_GB2312" w:hAnsi="仿宋_GB2312" w:eastAsia="仿宋_GB2312" w:cs="仿宋_GB2312"/>
          <w:color w:val="auto"/>
          <w:sz w:val="28"/>
          <w:szCs w:val="28"/>
          <w:highlight w:val="none"/>
        </w:rPr>
      </w:pPr>
    </w:p>
    <w:p w14:paraId="5DDAB3F7">
      <w:pPr>
        <w:autoSpaceDE w:val="0"/>
        <w:autoSpaceDN w:val="0"/>
        <w:adjustRightInd w:val="0"/>
        <w:spacing w:line="480" w:lineRule="exact"/>
        <w:jc w:val="left"/>
        <w:rPr>
          <w:rFonts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四、本协议一式四份，甲方执二份，乙方执二份，与主合同具有同等法律效力。</w:t>
      </w:r>
    </w:p>
    <w:p w14:paraId="4DBE8FE0">
      <w:pPr>
        <w:spacing w:line="480" w:lineRule="exact"/>
        <w:rPr>
          <w:rFonts w:ascii="仿宋_GB2312" w:hAnsi="仿宋_GB2312" w:eastAsia="仿宋_GB2312" w:cs="仿宋_GB2312"/>
          <w:color w:val="auto"/>
          <w:sz w:val="28"/>
          <w:szCs w:val="28"/>
          <w:highlight w:val="none"/>
        </w:rPr>
      </w:pPr>
    </w:p>
    <w:p w14:paraId="77C0BC15">
      <w:pPr>
        <w:spacing w:line="480" w:lineRule="exact"/>
        <w:ind w:firstLine="560" w:firstLineChars="200"/>
        <w:rPr>
          <w:rFonts w:ascii="仿宋_GB2312" w:hAnsi="仿宋_GB2312" w:eastAsia="仿宋_GB2312" w:cs="仿宋_GB2312"/>
          <w:color w:val="auto"/>
          <w:sz w:val="28"/>
          <w:szCs w:val="28"/>
          <w:highlight w:val="none"/>
        </w:rPr>
      </w:pPr>
    </w:p>
    <w:p w14:paraId="598BF02C">
      <w:pPr>
        <w:spacing w:line="480" w:lineRule="exac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甲方：                                  乙方：</w:t>
      </w:r>
    </w:p>
    <w:p w14:paraId="26F7D015">
      <w:pPr>
        <w:spacing w:line="480" w:lineRule="exact"/>
        <w:ind w:firstLine="1400" w:firstLineChars="500"/>
        <w:rPr>
          <w:rFonts w:ascii="仿宋_GB2312" w:hAnsi="仿宋_GB2312" w:eastAsia="仿宋_GB2312" w:cs="仿宋_GB2312"/>
          <w:color w:val="auto"/>
          <w:sz w:val="28"/>
          <w:szCs w:val="28"/>
          <w:highlight w:val="none"/>
        </w:rPr>
      </w:pPr>
    </w:p>
    <w:p w14:paraId="3BF0ABC0">
      <w:pPr>
        <w:spacing w:line="480" w:lineRule="exac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授权代表：                              授权代表：</w:t>
      </w:r>
    </w:p>
    <w:p w14:paraId="38BA3442">
      <w:pPr>
        <w:spacing w:line="480" w:lineRule="exact"/>
        <w:rPr>
          <w:rFonts w:ascii="仿宋_GB2312" w:hAnsi="仿宋_GB2312" w:eastAsia="仿宋_GB2312" w:cs="仿宋_GB2312"/>
          <w:color w:val="auto"/>
          <w:sz w:val="28"/>
          <w:szCs w:val="28"/>
          <w:highlight w:val="none"/>
          <w:lang w:val="en-GB"/>
        </w:rPr>
      </w:pPr>
      <w:r>
        <w:rPr>
          <w:rFonts w:hint="eastAsia" w:ascii="仿宋_GB2312" w:hAnsi="仿宋_GB2312" w:eastAsia="仿宋_GB2312" w:cs="仿宋_GB2312"/>
          <w:color w:val="auto"/>
          <w:sz w:val="28"/>
          <w:szCs w:val="28"/>
          <w:highlight w:val="none"/>
          <w:lang w:val="en-GB"/>
        </w:rPr>
        <w:t>年    月    日                          年    月    日</w:t>
      </w:r>
    </w:p>
    <w:p w14:paraId="41745C00">
      <w:pPr>
        <w:spacing w:line="480" w:lineRule="exact"/>
        <w:rPr>
          <w:rFonts w:ascii="仿宋_GB2312" w:hAnsi="仿宋_GB2312" w:eastAsia="仿宋_GB2312" w:cs="仿宋_GB2312"/>
          <w:color w:val="auto"/>
          <w:sz w:val="28"/>
          <w:szCs w:val="28"/>
          <w:highlight w:val="none"/>
        </w:rPr>
      </w:pPr>
    </w:p>
    <w:p w14:paraId="41563F67">
      <w:pPr>
        <w:spacing w:line="480" w:lineRule="exact"/>
        <w:rPr>
          <w:rFonts w:ascii="仿宋_GB2312" w:hAnsi="仿宋_GB2312" w:eastAsia="仿宋_GB2312" w:cs="仿宋_GB2312"/>
          <w:color w:val="auto"/>
          <w:sz w:val="28"/>
          <w:szCs w:val="28"/>
          <w:highlight w:val="none"/>
        </w:rPr>
      </w:pPr>
    </w:p>
    <w:p w14:paraId="450BBFCC">
      <w:pPr>
        <w:spacing w:line="480" w:lineRule="exac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附件2：</w:t>
      </w:r>
    </w:p>
    <w:p w14:paraId="47B8AB7D">
      <w:pPr>
        <w:adjustRightInd w:val="0"/>
        <w:snapToGrid w:val="0"/>
        <w:spacing w:line="240" w:lineRule="atLeast"/>
        <w:jc w:val="center"/>
        <w:rPr>
          <w:rFonts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福建省宁德建福建材有限公司</w:t>
      </w:r>
    </w:p>
    <w:p w14:paraId="2DB889A4">
      <w:pPr>
        <w:adjustRightInd w:val="0"/>
        <w:snapToGrid w:val="0"/>
        <w:spacing w:line="240" w:lineRule="atLeast"/>
        <w:jc w:val="center"/>
        <w:rPr>
          <w:rFonts w:ascii="仿宋_GB2312" w:hAnsi="仿宋_GB2312" w:eastAsia="仿宋_GB2312" w:cs="仿宋_GB2312"/>
          <w:b/>
          <w:bCs/>
          <w:strike/>
          <w:color w:val="auto"/>
          <w:sz w:val="28"/>
          <w:szCs w:val="28"/>
          <w:highlight w:val="none"/>
        </w:rPr>
      </w:pPr>
      <w:r>
        <w:rPr>
          <w:rFonts w:hint="eastAsia" w:ascii="仿宋_GB2312" w:hAnsi="仿宋_GB2312" w:eastAsia="仿宋_GB2312" w:cs="仿宋_GB2312"/>
          <w:b/>
          <w:bCs/>
          <w:color w:val="auto"/>
          <w:sz w:val="28"/>
          <w:szCs w:val="28"/>
          <w:highlight w:val="none"/>
        </w:rPr>
        <w:t>质量管理考核办法</w:t>
      </w:r>
    </w:p>
    <w:p w14:paraId="1BEBFEE8">
      <w:pPr>
        <w:adjustRightInd w:val="0"/>
        <w:snapToGrid w:val="0"/>
        <w:spacing w:line="240" w:lineRule="atLeast"/>
        <w:rPr>
          <w:rFonts w:ascii="仿宋_GB2312" w:hAnsi="仿宋_GB2312" w:eastAsia="仿宋_GB2312" w:cs="仿宋_GB2312"/>
          <w:color w:val="auto"/>
          <w:sz w:val="28"/>
          <w:szCs w:val="28"/>
          <w:highlight w:val="none"/>
        </w:rPr>
      </w:pPr>
    </w:p>
    <w:p w14:paraId="3414A88D">
      <w:pPr>
        <w:adjustRightInd w:val="0"/>
        <w:snapToGrid w:val="0"/>
        <w:spacing w:line="44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为进一步夯实质量管理基础，保证各质量指标的完成，提高产品质量，降低能耗，根据宁德建福水泥生产劳务承包期间对产品质量管理的要求，特制定本办法。</w:t>
      </w:r>
    </w:p>
    <w:p w14:paraId="51B85B33">
      <w:pPr>
        <w:adjustRightInd w:val="0"/>
        <w:snapToGrid w:val="0"/>
        <w:spacing w:line="440" w:lineRule="exac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一、考核目的：规范公司的质量管理，增强相关方的质量意识，确保产品质量。</w:t>
      </w:r>
    </w:p>
    <w:p w14:paraId="08C19E9A">
      <w:pPr>
        <w:adjustRightInd w:val="0"/>
        <w:snapToGrid w:val="0"/>
        <w:spacing w:line="440" w:lineRule="exac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二、考核方式：</w:t>
      </w:r>
    </w:p>
    <w:p w14:paraId="1969FF68">
      <w:pPr>
        <w:adjustRightInd w:val="0"/>
        <w:snapToGrid w:val="0"/>
        <w:spacing w:line="44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（1）采用定期检查及抽样检查方式，每月公布考核结果。</w:t>
      </w:r>
    </w:p>
    <w:p w14:paraId="7188A468">
      <w:pPr>
        <w:widowControl/>
        <w:adjustRightInd w:val="0"/>
        <w:snapToGrid w:val="0"/>
        <w:spacing w:line="440" w:lineRule="exact"/>
        <w:ind w:firstLine="560" w:firstLineChars="200"/>
        <w:jc w:val="lef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（2）每项考核不封顶、不保底。</w:t>
      </w:r>
    </w:p>
    <w:p w14:paraId="7C41CE4C">
      <w:pPr>
        <w:adjustRightInd w:val="0"/>
        <w:snapToGrid w:val="0"/>
        <w:spacing w:line="440" w:lineRule="exac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三、考核细则：</w:t>
      </w:r>
    </w:p>
    <w:p w14:paraId="63C0DD5B">
      <w:pPr>
        <w:adjustRightInd w:val="0"/>
        <w:snapToGrid w:val="0"/>
        <w:spacing w:line="440" w:lineRule="exac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w:t>
      </w:r>
      <w:r>
        <w:rPr>
          <w:rFonts w:hint="eastAsia" w:ascii="仿宋_GB2312" w:hAnsi="仿宋_GB2312" w:eastAsia="仿宋_GB2312" w:cs="仿宋_GB2312"/>
          <w:bCs/>
          <w:color w:val="auto"/>
          <w:sz w:val="28"/>
          <w:szCs w:val="28"/>
          <w:highlight w:val="none"/>
        </w:rPr>
        <w:t>产品生产过程管理</w:t>
      </w:r>
    </w:p>
    <w:p w14:paraId="3D4512E0">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进厂原材料（包括助磨剂）、石膏、混合材，须严格按相应国家标准及采购合同要求进行采购、堆放、验收，并附上检测报告（所使用的混合材需有权威部门的检测报告，新增混合材须增补检测报告），若没有附检测报告直接用于生产，每次扣500元；由此造成产品质量投诉，劳务承包方须负完全责任。</w:t>
      </w:r>
    </w:p>
    <w:p w14:paraId="5917BED1">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2.为确保出磨水泥质量均质稳定，由化验室根据宁德建福公司制定的工序质量事故报告及考核制度对水泥生产劳务承包方进行考核，考核结果由综合办负责落实。</w:t>
      </w:r>
    </w:p>
    <w:p w14:paraId="08D7E790">
      <w:pPr>
        <w:spacing w:line="480" w:lineRule="exact"/>
        <w:ind w:left="839" w:leftChars="266" w:hanging="280" w:hangingChars="100"/>
        <w:rPr>
          <w:rFonts w:ascii="仿宋_GB2312" w:hAnsi="仿宋_GB2312" w:eastAsia="仿宋_GB2312" w:cs="仿宋_GB2312"/>
          <w:color w:val="auto"/>
          <w:sz w:val="28"/>
          <w:szCs w:val="28"/>
          <w:highlight w:val="none"/>
        </w:rPr>
      </w:pPr>
    </w:p>
    <w:tbl>
      <w:tblPr>
        <w:tblStyle w:val="7"/>
        <w:tblW w:w="82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724"/>
        <w:gridCol w:w="709"/>
        <w:gridCol w:w="2551"/>
        <w:gridCol w:w="2694"/>
        <w:gridCol w:w="1559"/>
      </w:tblGrid>
      <w:tr w14:paraId="64FE3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01" w:hRule="atLeast"/>
        </w:trPr>
        <w:tc>
          <w:tcPr>
            <w:tcW w:w="724" w:type="dxa"/>
            <w:shd w:val="clear" w:color="auto" w:fill="auto"/>
            <w:vAlign w:val="center"/>
          </w:tcPr>
          <w:p w14:paraId="47DF65D2">
            <w:pPr>
              <w:widowControl/>
              <w:spacing w:line="360" w:lineRule="auto"/>
              <w:jc w:val="center"/>
              <w:textAlignment w:val="center"/>
              <w:rPr>
                <w:rFonts w:ascii="仿宋_GB2312" w:hAnsi="仿宋_GB2312" w:eastAsia="仿宋_GB2312" w:cs="仿宋_GB2312"/>
                <w:b/>
                <w:color w:val="auto"/>
                <w:sz w:val="24"/>
                <w:highlight w:val="none"/>
              </w:rPr>
            </w:pPr>
            <w:r>
              <w:rPr>
                <w:rFonts w:hint="eastAsia" w:ascii="仿宋_GB2312" w:hAnsi="仿宋_GB2312" w:eastAsia="仿宋_GB2312" w:cs="仿宋_GB2312"/>
                <w:b/>
                <w:color w:val="auto"/>
                <w:kern w:val="0"/>
                <w:sz w:val="24"/>
                <w:highlight w:val="none"/>
              </w:rPr>
              <w:t>部门</w:t>
            </w:r>
          </w:p>
        </w:tc>
        <w:tc>
          <w:tcPr>
            <w:tcW w:w="709" w:type="dxa"/>
            <w:shd w:val="clear" w:color="auto" w:fill="auto"/>
            <w:vAlign w:val="center"/>
          </w:tcPr>
          <w:p w14:paraId="50DCEA28">
            <w:pPr>
              <w:widowControl/>
              <w:spacing w:line="360" w:lineRule="auto"/>
              <w:jc w:val="center"/>
              <w:textAlignment w:val="center"/>
              <w:rPr>
                <w:rFonts w:ascii="仿宋_GB2312" w:hAnsi="仿宋_GB2312" w:eastAsia="仿宋_GB2312" w:cs="仿宋_GB2312"/>
                <w:b/>
                <w:color w:val="auto"/>
                <w:sz w:val="24"/>
                <w:highlight w:val="none"/>
              </w:rPr>
            </w:pPr>
            <w:r>
              <w:rPr>
                <w:rFonts w:hint="eastAsia" w:ascii="仿宋_GB2312" w:hAnsi="仿宋_GB2312" w:eastAsia="仿宋_GB2312" w:cs="仿宋_GB2312"/>
                <w:b/>
                <w:color w:val="auto"/>
                <w:kern w:val="0"/>
                <w:sz w:val="24"/>
                <w:highlight w:val="none"/>
              </w:rPr>
              <w:t>序号</w:t>
            </w:r>
          </w:p>
        </w:tc>
        <w:tc>
          <w:tcPr>
            <w:tcW w:w="2551" w:type="dxa"/>
            <w:shd w:val="clear" w:color="auto" w:fill="auto"/>
            <w:vAlign w:val="center"/>
          </w:tcPr>
          <w:p w14:paraId="2503CBC0">
            <w:pPr>
              <w:widowControl/>
              <w:spacing w:line="360" w:lineRule="auto"/>
              <w:jc w:val="center"/>
              <w:textAlignment w:val="center"/>
              <w:rPr>
                <w:rFonts w:ascii="仿宋_GB2312" w:hAnsi="仿宋_GB2312" w:eastAsia="仿宋_GB2312" w:cs="仿宋_GB2312"/>
                <w:b/>
                <w:color w:val="auto"/>
                <w:sz w:val="24"/>
                <w:highlight w:val="none"/>
              </w:rPr>
            </w:pPr>
            <w:r>
              <w:rPr>
                <w:rFonts w:hint="eastAsia" w:ascii="仿宋_GB2312" w:hAnsi="仿宋_GB2312" w:eastAsia="仿宋_GB2312" w:cs="仿宋_GB2312"/>
                <w:b/>
                <w:color w:val="auto"/>
                <w:kern w:val="0"/>
                <w:sz w:val="24"/>
                <w:highlight w:val="none"/>
              </w:rPr>
              <w:t>考核项目</w:t>
            </w:r>
          </w:p>
        </w:tc>
        <w:tc>
          <w:tcPr>
            <w:tcW w:w="2694" w:type="dxa"/>
            <w:shd w:val="clear" w:color="auto" w:fill="auto"/>
            <w:vAlign w:val="center"/>
          </w:tcPr>
          <w:p w14:paraId="64D9890C">
            <w:pPr>
              <w:widowControl/>
              <w:spacing w:line="360" w:lineRule="auto"/>
              <w:jc w:val="center"/>
              <w:textAlignment w:val="center"/>
              <w:rPr>
                <w:rFonts w:ascii="仿宋_GB2312" w:hAnsi="仿宋_GB2312" w:eastAsia="仿宋_GB2312" w:cs="仿宋_GB2312"/>
                <w:b/>
                <w:color w:val="auto"/>
                <w:sz w:val="24"/>
                <w:highlight w:val="none"/>
              </w:rPr>
            </w:pPr>
            <w:r>
              <w:rPr>
                <w:rFonts w:hint="eastAsia" w:ascii="仿宋_GB2312" w:hAnsi="仿宋_GB2312" w:eastAsia="仿宋_GB2312" w:cs="仿宋_GB2312"/>
                <w:b/>
                <w:color w:val="auto"/>
                <w:kern w:val="0"/>
                <w:sz w:val="24"/>
                <w:highlight w:val="none"/>
              </w:rPr>
              <w:t xml:space="preserve">指标 </w:t>
            </w:r>
          </w:p>
        </w:tc>
        <w:tc>
          <w:tcPr>
            <w:tcW w:w="1559" w:type="dxa"/>
            <w:shd w:val="clear" w:color="auto" w:fill="auto"/>
            <w:vAlign w:val="center"/>
          </w:tcPr>
          <w:p w14:paraId="4FE87DE8">
            <w:pPr>
              <w:widowControl/>
              <w:spacing w:line="360" w:lineRule="auto"/>
              <w:jc w:val="center"/>
              <w:textAlignment w:val="center"/>
              <w:rPr>
                <w:rFonts w:ascii="仿宋_GB2312" w:hAnsi="仿宋_GB2312" w:eastAsia="仿宋_GB2312" w:cs="仿宋_GB2312"/>
                <w:b/>
                <w:color w:val="auto"/>
                <w:sz w:val="24"/>
                <w:highlight w:val="none"/>
              </w:rPr>
            </w:pPr>
            <w:r>
              <w:rPr>
                <w:rFonts w:hint="eastAsia" w:ascii="仿宋_GB2312" w:hAnsi="仿宋_GB2312" w:eastAsia="仿宋_GB2312" w:cs="仿宋_GB2312"/>
                <w:b/>
                <w:color w:val="auto"/>
                <w:kern w:val="0"/>
                <w:sz w:val="24"/>
                <w:highlight w:val="none"/>
              </w:rPr>
              <w:t>考核标准</w:t>
            </w:r>
          </w:p>
        </w:tc>
      </w:tr>
      <w:tr w14:paraId="76783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724" w:type="dxa"/>
            <w:vMerge w:val="restart"/>
            <w:shd w:val="clear" w:color="auto" w:fill="auto"/>
            <w:vAlign w:val="center"/>
          </w:tcPr>
          <w:p w14:paraId="19336500">
            <w:pPr>
              <w:widowControl/>
              <w:jc w:val="center"/>
              <w:textAlignment w:val="center"/>
              <w:rPr>
                <w:rFonts w:ascii="仿宋_GB2312" w:hAnsi="仿宋_GB2312" w:eastAsia="仿宋_GB2312" w:cs="仿宋_GB2312"/>
                <w:b/>
                <w:color w:val="auto"/>
                <w:sz w:val="24"/>
                <w:highlight w:val="none"/>
              </w:rPr>
            </w:pPr>
            <w:r>
              <w:rPr>
                <w:rFonts w:hint="eastAsia" w:ascii="仿宋_GB2312" w:hAnsi="仿宋_GB2312" w:eastAsia="仿宋_GB2312" w:cs="仿宋_GB2312"/>
                <w:b/>
                <w:color w:val="auto"/>
                <w:kern w:val="0"/>
                <w:sz w:val="24"/>
                <w:highlight w:val="none"/>
              </w:rPr>
              <w:t>生产、包装车间</w:t>
            </w:r>
          </w:p>
        </w:tc>
        <w:tc>
          <w:tcPr>
            <w:tcW w:w="709" w:type="dxa"/>
            <w:shd w:val="clear" w:color="auto" w:fill="auto"/>
            <w:vAlign w:val="center"/>
          </w:tcPr>
          <w:p w14:paraId="0D143B79">
            <w:pPr>
              <w:widowControl/>
              <w:jc w:val="center"/>
              <w:textAlignment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kern w:val="0"/>
                <w:sz w:val="24"/>
                <w:highlight w:val="none"/>
              </w:rPr>
              <w:t>1</w:t>
            </w:r>
          </w:p>
        </w:tc>
        <w:tc>
          <w:tcPr>
            <w:tcW w:w="2551" w:type="dxa"/>
            <w:shd w:val="clear" w:color="auto" w:fill="auto"/>
            <w:vAlign w:val="center"/>
          </w:tcPr>
          <w:p w14:paraId="27E7BCF4">
            <w:pPr>
              <w:widowControl/>
              <w:jc w:val="left"/>
              <w:textAlignment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kern w:val="0"/>
                <w:sz w:val="24"/>
                <w:highlight w:val="none"/>
              </w:rPr>
              <w:t>出磨水泥比面积合格率</w:t>
            </w:r>
          </w:p>
        </w:tc>
        <w:tc>
          <w:tcPr>
            <w:tcW w:w="2694" w:type="dxa"/>
            <w:shd w:val="clear" w:color="auto" w:fill="auto"/>
            <w:vAlign w:val="center"/>
          </w:tcPr>
          <w:p w14:paraId="593FC8B1">
            <w:pPr>
              <w:widowControl/>
              <w:jc w:val="center"/>
              <w:textAlignment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kern w:val="0"/>
                <w:sz w:val="24"/>
                <w:highlight w:val="none"/>
              </w:rPr>
              <w:t>≥</w:t>
            </w:r>
            <w:r>
              <w:rPr>
                <w:rStyle w:val="17"/>
                <w:rFonts w:hint="eastAsia" w:ascii="仿宋_GB2312" w:hAnsi="仿宋_GB2312" w:eastAsia="仿宋_GB2312" w:cs="仿宋_GB2312"/>
                <w:color w:val="auto"/>
                <w:highlight w:val="none"/>
              </w:rPr>
              <w:t>85%</w:t>
            </w:r>
          </w:p>
        </w:tc>
        <w:tc>
          <w:tcPr>
            <w:tcW w:w="1559" w:type="dxa"/>
            <w:vMerge w:val="restart"/>
            <w:shd w:val="clear" w:color="auto" w:fill="auto"/>
            <w:vAlign w:val="center"/>
          </w:tcPr>
          <w:p w14:paraId="7D5715C1">
            <w:pPr>
              <w:ind w:firstLine="558"/>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每低1%扣50元</w:t>
            </w:r>
            <w:r>
              <w:rPr>
                <w:rFonts w:hint="eastAsia" w:ascii="仿宋_GB2312" w:hAnsi="仿宋_GB2312" w:eastAsia="仿宋_GB2312" w:cs="仿宋_GB2312"/>
                <w:color w:val="auto"/>
                <w:sz w:val="24"/>
                <w:highlight w:val="none"/>
              </w:rPr>
              <w:t>。</w:t>
            </w:r>
          </w:p>
        </w:tc>
      </w:tr>
      <w:tr w14:paraId="0F4DE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724" w:type="dxa"/>
            <w:vMerge w:val="continue"/>
            <w:shd w:val="clear" w:color="auto" w:fill="auto"/>
            <w:vAlign w:val="center"/>
          </w:tcPr>
          <w:p w14:paraId="4FF86374">
            <w:pPr>
              <w:jc w:val="left"/>
              <w:rPr>
                <w:rFonts w:ascii="仿宋_GB2312" w:hAnsi="仿宋_GB2312" w:eastAsia="仿宋_GB2312" w:cs="仿宋_GB2312"/>
                <w:b/>
                <w:color w:val="auto"/>
                <w:sz w:val="24"/>
                <w:highlight w:val="none"/>
              </w:rPr>
            </w:pPr>
          </w:p>
        </w:tc>
        <w:tc>
          <w:tcPr>
            <w:tcW w:w="709" w:type="dxa"/>
            <w:shd w:val="clear" w:color="auto" w:fill="auto"/>
            <w:vAlign w:val="center"/>
          </w:tcPr>
          <w:p w14:paraId="39BFBE2B">
            <w:pPr>
              <w:widowControl/>
              <w:jc w:val="center"/>
              <w:textAlignment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2</w:t>
            </w:r>
          </w:p>
        </w:tc>
        <w:tc>
          <w:tcPr>
            <w:tcW w:w="2551" w:type="dxa"/>
            <w:shd w:val="clear" w:color="auto" w:fill="auto"/>
            <w:vAlign w:val="center"/>
          </w:tcPr>
          <w:p w14:paraId="2B758F77">
            <w:pPr>
              <w:widowControl/>
              <w:jc w:val="left"/>
              <w:textAlignment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出磨水泥细度合格率</w:t>
            </w:r>
          </w:p>
        </w:tc>
        <w:tc>
          <w:tcPr>
            <w:tcW w:w="2694" w:type="dxa"/>
            <w:shd w:val="clear" w:color="auto" w:fill="auto"/>
            <w:vAlign w:val="center"/>
          </w:tcPr>
          <w:p w14:paraId="7FDB05AA">
            <w:pPr>
              <w:widowControl/>
              <w:jc w:val="center"/>
              <w:textAlignment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w:t>
            </w:r>
            <w:r>
              <w:rPr>
                <w:rStyle w:val="17"/>
                <w:rFonts w:hint="eastAsia" w:ascii="仿宋_GB2312" w:hAnsi="仿宋_GB2312" w:eastAsia="仿宋_GB2312" w:cs="仿宋_GB2312"/>
                <w:color w:val="auto"/>
                <w:highlight w:val="none"/>
              </w:rPr>
              <w:t>85%</w:t>
            </w:r>
          </w:p>
        </w:tc>
        <w:tc>
          <w:tcPr>
            <w:tcW w:w="1559" w:type="dxa"/>
            <w:vMerge w:val="continue"/>
            <w:shd w:val="clear" w:color="auto" w:fill="auto"/>
            <w:vAlign w:val="center"/>
          </w:tcPr>
          <w:p w14:paraId="6AE89898">
            <w:pPr>
              <w:rPr>
                <w:rFonts w:ascii="仿宋_GB2312" w:hAnsi="仿宋_GB2312" w:eastAsia="仿宋_GB2312" w:cs="仿宋_GB2312"/>
                <w:color w:val="auto"/>
                <w:sz w:val="24"/>
                <w:highlight w:val="none"/>
              </w:rPr>
            </w:pPr>
          </w:p>
        </w:tc>
      </w:tr>
      <w:tr w14:paraId="6673D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56" w:hRule="atLeast"/>
        </w:trPr>
        <w:tc>
          <w:tcPr>
            <w:tcW w:w="724" w:type="dxa"/>
            <w:vMerge w:val="continue"/>
            <w:shd w:val="clear" w:color="auto" w:fill="auto"/>
            <w:vAlign w:val="center"/>
          </w:tcPr>
          <w:p w14:paraId="79CDB7C1">
            <w:pPr>
              <w:jc w:val="left"/>
              <w:rPr>
                <w:rFonts w:ascii="仿宋_GB2312" w:hAnsi="仿宋_GB2312" w:eastAsia="仿宋_GB2312" w:cs="仿宋_GB2312"/>
                <w:b/>
                <w:color w:val="auto"/>
                <w:sz w:val="24"/>
                <w:highlight w:val="none"/>
              </w:rPr>
            </w:pPr>
          </w:p>
        </w:tc>
        <w:tc>
          <w:tcPr>
            <w:tcW w:w="709" w:type="dxa"/>
            <w:shd w:val="clear" w:color="auto" w:fill="auto"/>
            <w:vAlign w:val="center"/>
          </w:tcPr>
          <w:p w14:paraId="14DD1B47">
            <w:pPr>
              <w:widowControl/>
              <w:jc w:val="center"/>
              <w:textAlignment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kern w:val="0"/>
                <w:sz w:val="24"/>
                <w:highlight w:val="none"/>
              </w:rPr>
              <w:t>3</w:t>
            </w:r>
          </w:p>
        </w:tc>
        <w:tc>
          <w:tcPr>
            <w:tcW w:w="2551" w:type="dxa"/>
            <w:shd w:val="clear" w:color="auto" w:fill="auto"/>
            <w:vAlign w:val="center"/>
          </w:tcPr>
          <w:p w14:paraId="1E95D9D1">
            <w:pPr>
              <w:widowControl/>
              <w:jc w:val="left"/>
              <w:textAlignment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kern w:val="0"/>
                <w:sz w:val="24"/>
                <w:highlight w:val="none"/>
              </w:rPr>
              <w:t>出磨水泥SO3合格率</w:t>
            </w:r>
          </w:p>
        </w:tc>
        <w:tc>
          <w:tcPr>
            <w:tcW w:w="2694" w:type="dxa"/>
            <w:shd w:val="clear" w:color="auto" w:fill="auto"/>
            <w:vAlign w:val="center"/>
          </w:tcPr>
          <w:p w14:paraId="2513C9DE">
            <w:pPr>
              <w:widowControl/>
              <w:jc w:val="center"/>
              <w:textAlignment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kern w:val="0"/>
                <w:sz w:val="24"/>
                <w:highlight w:val="none"/>
              </w:rPr>
              <w:t>≥</w:t>
            </w:r>
            <w:r>
              <w:rPr>
                <w:rStyle w:val="17"/>
                <w:rFonts w:hint="eastAsia" w:ascii="仿宋_GB2312" w:hAnsi="仿宋_GB2312" w:eastAsia="仿宋_GB2312" w:cs="仿宋_GB2312"/>
                <w:color w:val="auto"/>
                <w:highlight w:val="none"/>
              </w:rPr>
              <w:t>85%</w:t>
            </w:r>
          </w:p>
        </w:tc>
        <w:tc>
          <w:tcPr>
            <w:tcW w:w="1559" w:type="dxa"/>
            <w:vMerge w:val="continue"/>
            <w:shd w:val="clear" w:color="auto" w:fill="auto"/>
            <w:vAlign w:val="center"/>
          </w:tcPr>
          <w:p w14:paraId="7AB7673B">
            <w:pPr>
              <w:rPr>
                <w:rFonts w:ascii="仿宋_GB2312" w:hAnsi="仿宋_GB2312" w:eastAsia="仿宋_GB2312" w:cs="仿宋_GB2312"/>
                <w:color w:val="auto"/>
                <w:sz w:val="24"/>
                <w:highlight w:val="none"/>
              </w:rPr>
            </w:pPr>
          </w:p>
        </w:tc>
      </w:tr>
      <w:tr w14:paraId="1F19C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724" w:type="dxa"/>
            <w:vMerge w:val="continue"/>
            <w:shd w:val="clear" w:color="auto" w:fill="auto"/>
            <w:vAlign w:val="center"/>
          </w:tcPr>
          <w:p w14:paraId="27B56019">
            <w:pPr>
              <w:jc w:val="left"/>
              <w:rPr>
                <w:rFonts w:ascii="仿宋_GB2312" w:hAnsi="仿宋_GB2312" w:eastAsia="仿宋_GB2312" w:cs="仿宋_GB2312"/>
                <w:b/>
                <w:color w:val="auto"/>
                <w:sz w:val="24"/>
                <w:highlight w:val="none"/>
              </w:rPr>
            </w:pPr>
          </w:p>
        </w:tc>
        <w:tc>
          <w:tcPr>
            <w:tcW w:w="709" w:type="dxa"/>
            <w:shd w:val="clear" w:color="auto" w:fill="auto"/>
            <w:vAlign w:val="center"/>
          </w:tcPr>
          <w:p w14:paraId="196E7FD3">
            <w:pPr>
              <w:widowControl/>
              <w:jc w:val="center"/>
              <w:textAlignment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kern w:val="0"/>
                <w:sz w:val="24"/>
                <w:highlight w:val="none"/>
              </w:rPr>
              <w:t>4</w:t>
            </w:r>
          </w:p>
        </w:tc>
        <w:tc>
          <w:tcPr>
            <w:tcW w:w="2551" w:type="dxa"/>
            <w:shd w:val="clear" w:color="auto" w:fill="auto"/>
            <w:vAlign w:val="center"/>
          </w:tcPr>
          <w:p w14:paraId="29A0A3E3">
            <w:pPr>
              <w:widowControl/>
              <w:jc w:val="left"/>
              <w:textAlignment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kern w:val="0"/>
                <w:sz w:val="24"/>
                <w:highlight w:val="none"/>
              </w:rPr>
              <w:t>水泥袋重合格率</w:t>
            </w:r>
          </w:p>
        </w:tc>
        <w:tc>
          <w:tcPr>
            <w:tcW w:w="2694" w:type="dxa"/>
            <w:shd w:val="clear" w:color="auto" w:fill="auto"/>
            <w:vAlign w:val="center"/>
          </w:tcPr>
          <w:p w14:paraId="505EFFAE">
            <w:pPr>
              <w:widowControl/>
              <w:jc w:val="center"/>
              <w:textAlignment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kern w:val="0"/>
                <w:sz w:val="24"/>
                <w:highlight w:val="none"/>
              </w:rPr>
              <w:t>100%</w:t>
            </w:r>
          </w:p>
        </w:tc>
        <w:tc>
          <w:tcPr>
            <w:tcW w:w="1559" w:type="dxa"/>
            <w:shd w:val="clear" w:color="auto" w:fill="auto"/>
            <w:vAlign w:val="center"/>
          </w:tcPr>
          <w:p w14:paraId="4564F29F">
            <w:pP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w:t>
            </w:r>
          </w:p>
        </w:tc>
      </w:tr>
      <w:tr w14:paraId="7CA94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724" w:type="dxa"/>
            <w:vMerge w:val="continue"/>
            <w:shd w:val="clear" w:color="auto" w:fill="auto"/>
            <w:vAlign w:val="center"/>
          </w:tcPr>
          <w:p w14:paraId="382788CB">
            <w:pPr>
              <w:jc w:val="left"/>
              <w:rPr>
                <w:rFonts w:ascii="仿宋_GB2312" w:hAnsi="仿宋_GB2312" w:eastAsia="仿宋_GB2312" w:cs="仿宋_GB2312"/>
                <w:b/>
                <w:color w:val="auto"/>
                <w:sz w:val="24"/>
                <w:highlight w:val="none"/>
              </w:rPr>
            </w:pPr>
          </w:p>
        </w:tc>
        <w:tc>
          <w:tcPr>
            <w:tcW w:w="709" w:type="dxa"/>
            <w:shd w:val="clear" w:color="auto" w:fill="auto"/>
            <w:vAlign w:val="center"/>
          </w:tcPr>
          <w:p w14:paraId="0C09A2C8">
            <w:pPr>
              <w:widowControl/>
              <w:jc w:val="center"/>
              <w:textAlignment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kern w:val="0"/>
                <w:sz w:val="24"/>
                <w:highlight w:val="none"/>
              </w:rPr>
              <w:t>5</w:t>
            </w:r>
          </w:p>
        </w:tc>
        <w:tc>
          <w:tcPr>
            <w:tcW w:w="2551" w:type="dxa"/>
            <w:shd w:val="clear" w:color="auto" w:fill="auto"/>
            <w:vAlign w:val="center"/>
          </w:tcPr>
          <w:p w14:paraId="4EB9CD49">
            <w:pPr>
              <w:widowControl/>
              <w:jc w:val="left"/>
              <w:textAlignment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kern w:val="0"/>
                <w:sz w:val="24"/>
                <w:highlight w:val="none"/>
              </w:rPr>
              <w:t>水泥包装袋品质</w:t>
            </w:r>
          </w:p>
        </w:tc>
        <w:tc>
          <w:tcPr>
            <w:tcW w:w="2694" w:type="dxa"/>
            <w:shd w:val="clear" w:color="auto" w:fill="auto"/>
            <w:vAlign w:val="center"/>
          </w:tcPr>
          <w:p w14:paraId="1F56FA0A">
            <w:pPr>
              <w:widowControl/>
              <w:jc w:val="center"/>
              <w:textAlignment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kern w:val="0"/>
                <w:sz w:val="24"/>
                <w:highlight w:val="none"/>
              </w:rPr>
              <w:t>100%</w:t>
            </w:r>
          </w:p>
        </w:tc>
        <w:tc>
          <w:tcPr>
            <w:tcW w:w="1559" w:type="dxa"/>
            <w:shd w:val="clear" w:color="auto" w:fill="auto"/>
            <w:vAlign w:val="center"/>
          </w:tcPr>
          <w:p w14:paraId="6383A1EC">
            <w:pP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w:t>
            </w:r>
          </w:p>
        </w:tc>
      </w:tr>
      <w:tr w14:paraId="07B55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724" w:type="dxa"/>
            <w:vMerge w:val="continue"/>
            <w:shd w:val="clear" w:color="auto" w:fill="auto"/>
            <w:vAlign w:val="center"/>
          </w:tcPr>
          <w:p w14:paraId="5C578EDD">
            <w:pPr>
              <w:jc w:val="left"/>
              <w:rPr>
                <w:rFonts w:ascii="仿宋_GB2312" w:hAnsi="仿宋_GB2312" w:eastAsia="仿宋_GB2312" w:cs="仿宋_GB2312"/>
                <w:b/>
                <w:color w:val="auto"/>
                <w:sz w:val="24"/>
                <w:highlight w:val="none"/>
              </w:rPr>
            </w:pPr>
          </w:p>
        </w:tc>
        <w:tc>
          <w:tcPr>
            <w:tcW w:w="709" w:type="dxa"/>
            <w:shd w:val="clear" w:color="auto" w:fill="auto"/>
            <w:vAlign w:val="center"/>
          </w:tcPr>
          <w:p w14:paraId="7F587355">
            <w:pPr>
              <w:widowControl/>
              <w:jc w:val="center"/>
              <w:textAlignment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kern w:val="0"/>
                <w:sz w:val="24"/>
                <w:highlight w:val="none"/>
              </w:rPr>
              <w:t>6</w:t>
            </w:r>
          </w:p>
        </w:tc>
        <w:tc>
          <w:tcPr>
            <w:tcW w:w="2551" w:type="dxa"/>
            <w:shd w:val="clear" w:color="auto" w:fill="auto"/>
            <w:vAlign w:val="center"/>
          </w:tcPr>
          <w:p w14:paraId="781B1115">
            <w:pPr>
              <w:widowControl/>
              <w:jc w:val="left"/>
              <w:textAlignment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kern w:val="0"/>
                <w:sz w:val="24"/>
                <w:highlight w:val="none"/>
              </w:rPr>
              <w:t>水泥纸袋破损率</w:t>
            </w:r>
          </w:p>
        </w:tc>
        <w:tc>
          <w:tcPr>
            <w:tcW w:w="2694" w:type="dxa"/>
            <w:shd w:val="clear" w:color="auto" w:fill="auto"/>
            <w:vAlign w:val="center"/>
          </w:tcPr>
          <w:p w14:paraId="244541F5">
            <w:pPr>
              <w:widowControl/>
              <w:jc w:val="center"/>
              <w:textAlignment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kern w:val="0"/>
                <w:sz w:val="24"/>
                <w:highlight w:val="none"/>
              </w:rPr>
              <w:t>≯0.3%</w:t>
            </w:r>
          </w:p>
        </w:tc>
        <w:tc>
          <w:tcPr>
            <w:tcW w:w="1559" w:type="dxa"/>
            <w:shd w:val="clear" w:color="auto" w:fill="auto"/>
            <w:vAlign w:val="center"/>
          </w:tcPr>
          <w:p w14:paraId="1B8AD51B">
            <w:pP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w:t>
            </w:r>
          </w:p>
        </w:tc>
      </w:tr>
      <w:tr w14:paraId="36B0F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724" w:type="dxa"/>
            <w:vMerge w:val="continue"/>
            <w:shd w:val="clear" w:color="auto" w:fill="auto"/>
            <w:vAlign w:val="center"/>
          </w:tcPr>
          <w:p w14:paraId="127030BC">
            <w:pPr>
              <w:jc w:val="left"/>
              <w:rPr>
                <w:rFonts w:ascii="仿宋_GB2312" w:hAnsi="仿宋_GB2312" w:eastAsia="仿宋_GB2312" w:cs="仿宋_GB2312"/>
                <w:b/>
                <w:color w:val="auto"/>
                <w:sz w:val="24"/>
                <w:highlight w:val="none"/>
              </w:rPr>
            </w:pPr>
          </w:p>
        </w:tc>
        <w:tc>
          <w:tcPr>
            <w:tcW w:w="709" w:type="dxa"/>
            <w:shd w:val="clear" w:color="auto" w:fill="auto"/>
            <w:vAlign w:val="center"/>
          </w:tcPr>
          <w:p w14:paraId="3703DE41">
            <w:pPr>
              <w:widowControl/>
              <w:jc w:val="center"/>
              <w:textAlignment w:val="center"/>
              <w:rPr>
                <w:rFonts w:ascii="仿宋_GB2312" w:hAnsi="仿宋_GB2312" w:eastAsia="仿宋_GB2312" w:cs="仿宋_GB2312"/>
                <w:strike/>
                <w:color w:val="auto"/>
                <w:sz w:val="24"/>
                <w:highlight w:val="none"/>
              </w:rPr>
            </w:pPr>
            <w:r>
              <w:rPr>
                <w:rFonts w:hint="eastAsia" w:ascii="仿宋_GB2312" w:hAnsi="仿宋_GB2312" w:eastAsia="仿宋_GB2312" w:cs="仿宋_GB2312"/>
                <w:color w:val="auto"/>
                <w:kern w:val="0"/>
                <w:sz w:val="24"/>
                <w:highlight w:val="none"/>
              </w:rPr>
              <w:t>7</w:t>
            </w:r>
          </w:p>
        </w:tc>
        <w:tc>
          <w:tcPr>
            <w:tcW w:w="2551" w:type="dxa"/>
            <w:shd w:val="clear" w:color="auto" w:fill="auto"/>
            <w:vAlign w:val="center"/>
          </w:tcPr>
          <w:p w14:paraId="1E453395">
            <w:pPr>
              <w:widowControl/>
              <w:jc w:val="left"/>
              <w:textAlignment w:val="center"/>
              <w:rPr>
                <w:rFonts w:ascii="仿宋_GB2312" w:hAnsi="仿宋_GB2312" w:eastAsia="仿宋_GB2312" w:cs="仿宋_GB2312"/>
                <w:strike/>
                <w:color w:val="auto"/>
                <w:sz w:val="24"/>
                <w:highlight w:val="none"/>
              </w:rPr>
            </w:pPr>
            <w:r>
              <w:rPr>
                <w:rFonts w:hint="eastAsia" w:ascii="仿宋_GB2312" w:hAnsi="仿宋_GB2312" w:eastAsia="仿宋_GB2312" w:cs="仿宋_GB2312"/>
                <w:color w:val="auto"/>
                <w:kern w:val="0"/>
                <w:sz w:val="24"/>
                <w:highlight w:val="none"/>
              </w:rPr>
              <w:t>出厂水泥化学指标</w:t>
            </w:r>
          </w:p>
        </w:tc>
        <w:tc>
          <w:tcPr>
            <w:tcW w:w="2694" w:type="dxa"/>
            <w:shd w:val="clear" w:color="auto" w:fill="auto"/>
            <w:vAlign w:val="center"/>
          </w:tcPr>
          <w:p w14:paraId="432292F7">
            <w:pPr>
              <w:widowControl/>
              <w:jc w:val="left"/>
              <w:textAlignment w:val="center"/>
              <w:rPr>
                <w:rFonts w:ascii="仿宋_GB2312" w:hAnsi="仿宋_GB2312" w:eastAsia="仿宋_GB2312" w:cs="仿宋_GB2312"/>
                <w:strike/>
                <w:color w:val="auto"/>
                <w:sz w:val="24"/>
                <w:highlight w:val="none"/>
              </w:rPr>
            </w:pPr>
            <w:r>
              <w:rPr>
                <w:rFonts w:hint="eastAsia" w:ascii="仿宋_GB2312" w:hAnsi="仿宋_GB2312" w:eastAsia="仿宋_GB2312" w:cs="仿宋_GB2312"/>
                <w:color w:val="auto"/>
                <w:kern w:val="0"/>
                <w:sz w:val="24"/>
                <w:highlight w:val="none"/>
              </w:rPr>
              <w:t>满足国家标准要求</w:t>
            </w:r>
          </w:p>
        </w:tc>
        <w:tc>
          <w:tcPr>
            <w:tcW w:w="1559" w:type="dxa"/>
            <w:shd w:val="clear" w:color="auto" w:fill="auto"/>
            <w:vAlign w:val="center"/>
          </w:tcPr>
          <w:p w14:paraId="1A931643">
            <w:pPr>
              <w:rPr>
                <w:rFonts w:ascii="仿宋_GB2312" w:hAnsi="仿宋_GB2312" w:eastAsia="仿宋_GB2312" w:cs="仿宋_GB2312"/>
                <w:strike/>
                <w:color w:val="auto"/>
                <w:sz w:val="24"/>
                <w:highlight w:val="none"/>
              </w:rPr>
            </w:pPr>
            <w:r>
              <w:rPr>
                <w:rFonts w:hint="eastAsia" w:ascii="仿宋_GB2312" w:hAnsi="仿宋_GB2312" w:eastAsia="仿宋_GB2312" w:cs="仿宋_GB2312"/>
                <w:color w:val="auto"/>
                <w:sz w:val="24"/>
                <w:highlight w:val="none"/>
              </w:rPr>
              <w:t>低于国家标准不予出厂，并上报公司处理。</w:t>
            </w:r>
          </w:p>
        </w:tc>
      </w:tr>
      <w:tr w14:paraId="4E69B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724" w:type="dxa"/>
            <w:vMerge w:val="continue"/>
            <w:shd w:val="clear" w:color="auto" w:fill="auto"/>
            <w:vAlign w:val="center"/>
          </w:tcPr>
          <w:p w14:paraId="461165AF">
            <w:pPr>
              <w:jc w:val="left"/>
              <w:rPr>
                <w:rFonts w:ascii="仿宋_GB2312" w:hAnsi="仿宋_GB2312" w:eastAsia="仿宋_GB2312" w:cs="仿宋_GB2312"/>
                <w:b/>
                <w:color w:val="auto"/>
                <w:sz w:val="24"/>
                <w:highlight w:val="none"/>
              </w:rPr>
            </w:pPr>
          </w:p>
        </w:tc>
        <w:tc>
          <w:tcPr>
            <w:tcW w:w="709" w:type="dxa"/>
            <w:shd w:val="clear" w:color="auto" w:fill="auto"/>
            <w:vAlign w:val="center"/>
          </w:tcPr>
          <w:p w14:paraId="214CE062">
            <w:pPr>
              <w:widowControl/>
              <w:jc w:val="center"/>
              <w:textAlignment w:val="center"/>
              <w:rPr>
                <w:rFonts w:ascii="仿宋_GB2312" w:hAnsi="仿宋_GB2312" w:eastAsia="仿宋_GB2312" w:cs="仿宋_GB2312"/>
                <w:strike/>
                <w:color w:val="auto"/>
                <w:sz w:val="24"/>
                <w:highlight w:val="none"/>
              </w:rPr>
            </w:pPr>
            <w:r>
              <w:rPr>
                <w:rFonts w:hint="eastAsia" w:ascii="仿宋_GB2312" w:hAnsi="仿宋_GB2312" w:eastAsia="仿宋_GB2312" w:cs="仿宋_GB2312"/>
                <w:color w:val="auto"/>
                <w:kern w:val="0"/>
                <w:sz w:val="24"/>
                <w:highlight w:val="none"/>
              </w:rPr>
              <w:t>8</w:t>
            </w:r>
          </w:p>
        </w:tc>
        <w:tc>
          <w:tcPr>
            <w:tcW w:w="2551" w:type="dxa"/>
            <w:shd w:val="clear" w:color="auto" w:fill="auto"/>
            <w:vAlign w:val="center"/>
          </w:tcPr>
          <w:p w14:paraId="41443EB0">
            <w:pPr>
              <w:widowControl/>
              <w:jc w:val="left"/>
              <w:textAlignment w:val="center"/>
              <w:rPr>
                <w:rFonts w:ascii="仿宋_GB2312" w:hAnsi="仿宋_GB2312" w:eastAsia="仿宋_GB2312" w:cs="仿宋_GB2312"/>
                <w:strike/>
                <w:color w:val="auto"/>
                <w:sz w:val="24"/>
                <w:highlight w:val="none"/>
              </w:rPr>
            </w:pPr>
            <w:r>
              <w:rPr>
                <w:rFonts w:hint="eastAsia" w:ascii="仿宋_GB2312" w:hAnsi="仿宋_GB2312" w:eastAsia="仿宋_GB2312" w:cs="仿宋_GB2312"/>
                <w:color w:val="auto"/>
                <w:kern w:val="0"/>
                <w:sz w:val="24"/>
                <w:highlight w:val="none"/>
              </w:rPr>
              <w:t>出厂水泥物理指标</w:t>
            </w:r>
          </w:p>
        </w:tc>
        <w:tc>
          <w:tcPr>
            <w:tcW w:w="2694" w:type="dxa"/>
            <w:shd w:val="clear" w:color="auto" w:fill="auto"/>
            <w:vAlign w:val="center"/>
          </w:tcPr>
          <w:p w14:paraId="44999645">
            <w:pPr>
              <w:widowControl/>
              <w:jc w:val="left"/>
              <w:textAlignment w:val="center"/>
              <w:rPr>
                <w:rFonts w:ascii="仿宋_GB2312" w:hAnsi="仿宋_GB2312" w:eastAsia="仿宋_GB2312" w:cs="仿宋_GB2312"/>
                <w:strike/>
                <w:color w:val="auto"/>
                <w:sz w:val="24"/>
                <w:highlight w:val="none"/>
              </w:rPr>
            </w:pPr>
            <w:r>
              <w:rPr>
                <w:rFonts w:hint="eastAsia" w:ascii="仿宋_GB2312" w:hAnsi="仿宋_GB2312" w:eastAsia="仿宋_GB2312" w:cs="仿宋_GB2312"/>
                <w:color w:val="auto"/>
                <w:kern w:val="0"/>
                <w:sz w:val="24"/>
                <w:highlight w:val="none"/>
              </w:rPr>
              <w:t>满足国家标准要求</w:t>
            </w:r>
          </w:p>
        </w:tc>
        <w:tc>
          <w:tcPr>
            <w:tcW w:w="1559" w:type="dxa"/>
            <w:shd w:val="clear" w:color="auto" w:fill="auto"/>
            <w:vAlign w:val="center"/>
          </w:tcPr>
          <w:p w14:paraId="514BF0BF">
            <w:pPr>
              <w:rPr>
                <w:rFonts w:ascii="仿宋_GB2312" w:hAnsi="仿宋_GB2312" w:eastAsia="仿宋_GB2312" w:cs="仿宋_GB2312"/>
                <w:strike/>
                <w:color w:val="auto"/>
                <w:sz w:val="24"/>
                <w:highlight w:val="none"/>
              </w:rPr>
            </w:pPr>
          </w:p>
        </w:tc>
      </w:tr>
      <w:tr w14:paraId="4466B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724" w:type="dxa"/>
            <w:vMerge w:val="continue"/>
            <w:shd w:val="clear" w:color="auto" w:fill="auto"/>
            <w:vAlign w:val="center"/>
          </w:tcPr>
          <w:p w14:paraId="5C9D4BEC">
            <w:pPr>
              <w:jc w:val="left"/>
              <w:rPr>
                <w:rFonts w:ascii="仿宋_GB2312" w:hAnsi="仿宋_GB2312" w:eastAsia="仿宋_GB2312" w:cs="仿宋_GB2312"/>
                <w:b/>
                <w:color w:val="auto"/>
                <w:sz w:val="24"/>
                <w:highlight w:val="none"/>
              </w:rPr>
            </w:pPr>
          </w:p>
        </w:tc>
        <w:tc>
          <w:tcPr>
            <w:tcW w:w="709" w:type="dxa"/>
            <w:shd w:val="clear" w:color="auto" w:fill="auto"/>
            <w:vAlign w:val="center"/>
          </w:tcPr>
          <w:p w14:paraId="066C2C99">
            <w:pPr>
              <w:widowControl/>
              <w:jc w:val="center"/>
              <w:textAlignment w:val="center"/>
              <w:rPr>
                <w:rFonts w:ascii="仿宋_GB2312" w:hAnsi="仿宋_GB2312" w:eastAsia="仿宋_GB2312" w:cs="仿宋_GB2312"/>
                <w:strike/>
                <w:color w:val="auto"/>
                <w:sz w:val="24"/>
                <w:highlight w:val="none"/>
              </w:rPr>
            </w:pPr>
            <w:r>
              <w:rPr>
                <w:rFonts w:hint="eastAsia" w:ascii="仿宋_GB2312" w:hAnsi="仿宋_GB2312" w:eastAsia="仿宋_GB2312" w:cs="仿宋_GB2312"/>
                <w:color w:val="auto"/>
                <w:kern w:val="0"/>
                <w:sz w:val="24"/>
                <w:highlight w:val="none"/>
              </w:rPr>
              <w:t>11</w:t>
            </w:r>
          </w:p>
        </w:tc>
        <w:tc>
          <w:tcPr>
            <w:tcW w:w="2551" w:type="dxa"/>
            <w:shd w:val="clear" w:color="auto" w:fill="auto"/>
            <w:vAlign w:val="center"/>
          </w:tcPr>
          <w:p w14:paraId="0DC892D6">
            <w:pPr>
              <w:widowControl/>
              <w:jc w:val="left"/>
              <w:textAlignment w:val="center"/>
              <w:rPr>
                <w:rFonts w:ascii="仿宋_GB2312" w:hAnsi="仿宋_GB2312" w:eastAsia="仿宋_GB2312" w:cs="仿宋_GB2312"/>
                <w:strike/>
                <w:color w:val="auto"/>
                <w:sz w:val="24"/>
                <w:highlight w:val="none"/>
              </w:rPr>
            </w:pPr>
            <w:r>
              <w:rPr>
                <w:rFonts w:hint="eastAsia" w:ascii="仿宋_GB2312" w:hAnsi="仿宋_GB2312" w:eastAsia="仿宋_GB2312" w:cs="仿宋_GB2312"/>
                <w:color w:val="auto"/>
                <w:kern w:val="0"/>
                <w:sz w:val="24"/>
                <w:highlight w:val="none"/>
              </w:rPr>
              <w:t>出厂水泥变异系数</w:t>
            </w:r>
          </w:p>
        </w:tc>
        <w:tc>
          <w:tcPr>
            <w:tcW w:w="2694" w:type="dxa"/>
            <w:shd w:val="clear" w:color="auto" w:fill="auto"/>
            <w:vAlign w:val="center"/>
          </w:tcPr>
          <w:p w14:paraId="417EFDFF">
            <w:pPr>
              <w:widowControl/>
              <w:textAlignment w:val="center"/>
              <w:rPr>
                <w:rFonts w:ascii="仿宋_GB2312" w:hAnsi="仿宋_GB2312" w:eastAsia="仿宋_GB2312" w:cs="仿宋_GB2312"/>
                <w:strike/>
                <w:color w:val="auto"/>
                <w:sz w:val="24"/>
                <w:highlight w:val="none"/>
              </w:rPr>
            </w:pPr>
            <w:r>
              <w:rPr>
                <w:rFonts w:hint="eastAsia" w:ascii="仿宋_GB2312" w:hAnsi="仿宋_GB2312" w:eastAsia="仿宋_GB2312" w:cs="仿宋_GB2312"/>
                <w:color w:val="auto"/>
                <w:kern w:val="0"/>
                <w:sz w:val="24"/>
                <w:highlight w:val="none"/>
              </w:rPr>
              <w:t>强度等级52.5及以上:Cv≤3.0%；强度等级42.5（R）：Cv≤3.5%；强度等级32.5（R）：Cv≤4.5%,</w:t>
            </w:r>
          </w:p>
        </w:tc>
        <w:tc>
          <w:tcPr>
            <w:tcW w:w="1559" w:type="dxa"/>
            <w:shd w:val="clear" w:color="auto" w:fill="auto"/>
            <w:vAlign w:val="center"/>
          </w:tcPr>
          <w:p w14:paraId="6E43E44B">
            <w:pPr>
              <w:rPr>
                <w:rFonts w:ascii="仿宋_GB2312" w:hAnsi="仿宋_GB2312" w:eastAsia="仿宋_GB2312" w:cs="仿宋_GB2312"/>
                <w:strike/>
                <w:color w:val="auto"/>
                <w:sz w:val="24"/>
                <w:highlight w:val="none"/>
              </w:rPr>
            </w:pPr>
            <w:r>
              <w:rPr>
                <w:rFonts w:hint="eastAsia" w:ascii="仿宋_GB2312" w:hAnsi="仿宋_GB2312" w:eastAsia="仿宋_GB2312" w:cs="仿宋_GB2312"/>
                <w:color w:val="auto"/>
                <w:sz w:val="24"/>
                <w:highlight w:val="none"/>
              </w:rPr>
              <w:t>低于要求，督促整改。</w:t>
            </w:r>
          </w:p>
        </w:tc>
      </w:tr>
    </w:tbl>
    <w:p w14:paraId="48991BEA">
      <w:pPr>
        <w:spacing w:line="480" w:lineRule="exact"/>
        <w:ind w:left="839" w:leftChars="266" w:hanging="280" w:hangingChars="100"/>
        <w:rPr>
          <w:rFonts w:ascii="仿宋_GB2312" w:hAnsi="仿宋_GB2312" w:eastAsia="仿宋_GB2312" w:cs="仿宋_GB2312"/>
          <w:color w:val="auto"/>
          <w:sz w:val="28"/>
          <w:szCs w:val="28"/>
          <w:highlight w:val="none"/>
        </w:rPr>
      </w:pPr>
    </w:p>
    <w:p w14:paraId="2720A350">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3.质量数据要真实有效，发现数据造假的，每次扣100元；</w:t>
      </w:r>
    </w:p>
    <w:p w14:paraId="22065586">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4.原材料进厂、配料计量称须按规范定期进行维护、标定，符合计量精度要求。未按要求开展造成生产中影响配比准确性，每次扣100元/台；</w:t>
      </w:r>
    </w:p>
    <w:p w14:paraId="63AE3913">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5.水泥生产中调配库发生断料、堵料造成质量波动，超过5分钟未能及时解决扣50元/次。</w:t>
      </w:r>
    </w:p>
    <w:p w14:paraId="759D2C81">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6.生产车间必须严格按照水泥出厂通知单发货，未按水泥出厂通知错发水泥出厂的，每次扣100元；由此造成产品质量投诉，劳务承包方须负完全责任。</w:t>
      </w:r>
    </w:p>
    <w:p w14:paraId="3E7840BB">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7.包装必须严格按照水泥品种、标号使用包装袋，错用包装纸袋造成袋装水泥内容与标识不符的，每次扣100元；由此造成产品质量投诉，劳务承包方须负完全责任。</w:t>
      </w:r>
    </w:p>
    <w:p w14:paraId="27433E7E">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8.包装车间出厂水泥包装标志必须清晰、齐全，标志不清、不齐全或连续10包的出厂日期、编号打印不清楚的，每次扣100元；由此造成产品质量投诉，劳务承包方须负完全责任。</w:t>
      </w:r>
    </w:p>
    <w:p w14:paraId="246B665A">
      <w:pPr>
        <w:adjustRightInd w:val="0"/>
        <w:snapToGrid w:val="0"/>
        <w:spacing w:line="440" w:lineRule="exact"/>
        <w:rPr>
          <w:rFonts w:ascii="仿宋_GB2312" w:hAnsi="仿宋_GB2312" w:eastAsia="仿宋_GB2312" w:cs="仿宋_GB2312"/>
          <w:color w:val="auto"/>
          <w:sz w:val="28"/>
          <w:szCs w:val="28"/>
          <w:highlight w:val="none"/>
        </w:rPr>
      </w:pPr>
    </w:p>
    <w:p w14:paraId="6391CF85">
      <w:pPr>
        <w:adjustRightInd w:val="0"/>
        <w:snapToGrid w:val="0"/>
        <w:spacing w:line="440" w:lineRule="exac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（二）化验室内部管理</w:t>
      </w:r>
    </w:p>
    <w:p w14:paraId="489DAF67">
      <w:pPr>
        <w:widowControl/>
        <w:spacing w:line="440" w:lineRule="exact"/>
        <w:ind w:firstLine="560" w:firstLineChars="200"/>
        <w:jc w:val="lef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化验室内部管理依照《福建省宁德建福有限公司化验室管理考核制度》执行，劳务承包方严格按制度开展质量管理工作，本考核办法由化验室负责执行及解释监督。</w:t>
      </w:r>
    </w:p>
    <w:p w14:paraId="14A76C65">
      <w:pPr>
        <w:jc w:val="center"/>
        <w:rPr>
          <w:rFonts w:ascii="仿宋_GB2312" w:hAnsi="仿宋_GB2312" w:eastAsia="仿宋_GB2312" w:cs="仿宋_GB2312"/>
          <w:b/>
          <w:color w:val="auto"/>
          <w:sz w:val="28"/>
          <w:szCs w:val="28"/>
          <w:highlight w:val="none"/>
        </w:rPr>
      </w:pPr>
    </w:p>
    <w:p w14:paraId="5E036543">
      <w:pPr>
        <w:jc w:val="center"/>
        <w:rPr>
          <w:rFonts w:ascii="仿宋_GB2312" w:hAnsi="仿宋_GB2312" w:eastAsia="仿宋_GB2312" w:cs="仿宋_GB2312"/>
          <w:b/>
          <w:color w:val="auto"/>
          <w:sz w:val="28"/>
          <w:szCs w:val="28"/>
          <w:highlight w:val="none"/>
        </w:rPr>
      </w:pPr>
    </w:p>
    <w:p w14:paraId="18587B84">
      <w:pPr>
        <w:jc w:val="center"/>
        <w:rPr>
          <w:rFonts w:ascii="仿宋_GB2312" w:hAnsi="仿宋_GB2312" w:eastAsia="仿宋_GB2312" w:cs="仿宋_GB2312"/>
          <w:b/>
          <w:color w:val="auto"/>
          <w:sz w:val="28"/>
          <w:szCs w:val="28"/>
          <w:highlight w:val="none"/>
        </w:rPr>
      </w:pPr>
    </w:p>
    <w:p w14:paraId="2F71A406">
      <w:pPr>
        <w:jc w:val="center"/>
        <w:rPr>
          <w:rFonts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福建省宁德建福建材有限公司化验室管理考核制度</w:t>
      </w:r>
    </w:p>
    <w:p w14:paraId="27941910">
      <w:pPr>
        <w:jc w:val="center"/>
        <w:rPr>
          <w:rFonts w:ascii="仿宋_GB2312" w:hAnsi="仿宋_GB2312" w:eastAsia="仿宋_GB2312" w:cs="仿宋_GB2312"/>
          <w:b/>
          <w:color w:val="auto"/>
          <w:sz w:val="28"/>
          <w:szCs w:val="28"/>
          <w:highlight w:val="none"/>
        </w:rPr>
      </w:pPr>
    </w:p>
    <w:p w14:paraId="6EDA6F29">
      <w:pPr>
        <w:spacing w:line="48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为了规范化验室检验工检验操作，提高检验工责任心和检验工作质量，确保出厂水泥产品质量，特制订本化验室管理考核制度。</w:t>
      </w:r>
    </w:p>
    <w:p w14:paraId="247BCDF2">
      <w:pPr>
        <w:spacing w:line="480" w:lineRule="exact"/>
        <w:rPr>
          <w:rFonts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生控岗位职责：</w:t>
      </w:r>
    </w:p>
    <w:p w14:paraId="283A446D">
      <w:pPr>
        <w:spacing w:line="48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生产中及时制取样（包括原材料及出磨水泥）</w:t>
      </w:r>
    </w:p>
    <w:p w14:paraId="6E15D584">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1.对进场的原材料要及时取样做样，不得无故漏取，发现漏取一次扣10元/次，两次加倍，依此类推。</w:t>
      </w:r>
    </w:p>
    <w:p w14:paraId="786E1030">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2.出磨水泥应及时取样、制样、做样，并保证所取样品具有代表性。发现漏做一次扣10元/次。每人每月漏做三次以上加扣50元。</w:t>
      </w:r>
    </w:p>
    <w:p w14:paraId="3397BD5F">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3.做样质量：如发现测定出磨水泥比表、细度、SO3任何一项未按公司的《化验室作业指导书》操作规程进行操作的，造成测定结果偏差，发现扣50元/次，发现两次加倍。</w:t>
      </w:r>
    </w:p>
    <w:p w14:paraId="7E486DFB">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4.抽查样：每月进行的内部抽查，抽查数据超出实验误差的，扣5元/次。</w:t>
      </w:r>
    </w:p>
    <w:p w14:paraId="333EC317">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5.取样器维护，每次开机前必须开启取样器，并倒掉残余的样品，未按要求执行，造成本班不能正常取样，扣当班人10元/次。若发现异常情况应及时反馈。</w:t>
      </w:r>
    </w:p>
    <w:p w14:paraId="5FC281DD">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6.质量台账要按规定进行规范填写，中控通知的开停机时间、进库号及品标应及时准确记录，交接班记录应填写完整。未按规定要求扣10元/次。</w:t>
      </w:r>
    </w:p>
    <w:p w14:paraId="0FD9DA10">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7.清洁生产，本班下班前，应做好操作台面、环境卫生、设备卫生的清洁工作，未按要求完成扣5元/次。</w:t>
      </w:r>
    </w:p>
    <w:p w14:paraId="77275122">
      <w:pPr>
        <w:spacing w:line="480" w:lineRule="exact"/>
        <w:rPr>
          <w:rFonts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全分析岗位职责：</w:t>
      </w:r>
    </w:p>
    <w:p w14:paraId="69F3C0CC">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1.对原材料、水泥样品进行取样、备样和检验，并做好数据归纳和台账记录。未按要求执行扣10元/次。</w:t>
      </w:r>
    </w:p>
    <w:p w14:paraId="2136608D">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2.抽查样：每月进行的内部抽查，超出实验误差的，扣5元/次。</w:t>
      </w:r>
    </w:p>
    <w:p w14:paraId="2E0D53CF">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3.对比验证：与检验机构对比，任一项目超差扣5元。</w:t>
      </w:r>
    </w:p>
    <w:p w14:paraId="747582EC">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4.质量台帐、报表：按规定要求及时准确填写报送，未按要求规定执行的，扣5元/次。</w:t>
      </w:r>
    </w:p>
    <w:p w14:paraId="21B2E299">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5.清洁生产，做好本分析室的环境卫生、操作台面和设备卫生清洁工作。未按要求完成的扣5元/次。</w:t>
      </w:r>
    </w:p>
    <w:p w14:paraId="56D60158">
      <w:pPr>
        <w:spacing w:line="480" w:lineRule="exact"/>
        <w:rPr>
          <w:rFonts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物检岗位职责：</w:t>
      </w:r>
    </w:p>
    <w:p w14:paraId="60F20C98">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1.熟料取样必须严格按规定的车数及取样量进行取样。发现未按规定的车数及取样量进行随意取样的，扣20元/次。</w:t>
      </w:r>
    </w:p>
    <w:p w14:paraId="73B9069F">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2.出厂水泥（包括散装和袋装）取样，应按规定的品标、编号、重量进行取样，并标识清楚，必须是当班取样人员到现场，严禁他人代取。若未按规定要求进行取样，造成样品取错，扣当事人20元/次。 </w:t>
      </w:r>
    </w:p>
    <w:p w14:paraId="60356F0D">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3.筛样（包括出磨、出厂水泥样品），当班人员早上应提早20分钟到岗位，按品标、班次、 编号准确制样并做好标识。未按规定进行操作，造成混样。扣20元/次。</w:t>
      </w:r>
    </w:p>
    <w:p w14:paraId="21250DC2">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4.打试验小磨时，必须严格按混合材和熟料分别粉磨的原则进行打磨。并记录好相关的质量数据（比表、细度、打磨时间），不得无故推诿，若打磨不及时，推诿给质量检验工作带来影响的，扣10元/次。</w:t>
      </w:r>
    </w:p>
    <w:p w14:paraId="4D332D09">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5.物理检验，必须严格按GB175-2007标准进行检验。按出磨-出厂-熟料的实验样品的顺序进行检测。</w:t>
      </w:r>
    </w:p>
    <w:p w14:paraId="7DBD08DC">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6.试验前须对使用的设备进行检查，并做好记录，确保设备符合使用要求。若发现异常应及时反馈，试验前未检查设备，造成检测数据偏差的，扣20元/次。 </w:t>
      </w:r>
    </w:p>
    <w:p w14:paraId="55401FC1">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7.称样前，须确认天平的读数无误后才可称取样品。如发现所称样品多称或少称不符合规定要求的，扣20元/次。</w:t>
      </w:r>
    </w:p>
    <w:p w14:paraId="51FC06D6">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8.流动度检验和胶砂强度检验应分别进行，不得混合在一起检测。未按规定要求进行操作的，扣20元/次。</w:t>
      </w:r>
    </w:p>
    <w:p w14:paraId="15B83DE6">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9.振实台和刮模操作必须严格按成型一组刮模一组的顺序进行，杜绝多组同时操作。未按要求规定进行操作造成混样的，扣30元/次。</w:t>
      </w:r>
    </w:p>
    <w:p w14:paraId="100DAF21">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10.稠度和凝结时间测定须严格按操作规程进行测定，杜绝弄虚作假。发现弄虚作假，扣20元/次。 </w:t>
      </w:r>
    </w:p>
    <w:p w14:paraId="7019632A">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11. 试块破型应严格按龄期、样品编号、成型顺序进行破型。破型时间须严格按国家标准要求规定的时间范围内进行，杜绝破错和漏破试块。未按要求造成试验数据偏差的，扣20元/次。</w:t>
      </w:r>
    </w:p>
    <w:p w14:paraId="32808685">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12.试验条件管理，严格按照国家标准要求对温度和湿度进行控制，及时观察和调整并做好记录。未按要求发现扣10元/次。</w:t>
      </w:r>
    </w:p>
    <w:p w14:paraId="18D8AA8B">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13.每月内部抽查任一单项出现不合格扣5元/次。</w:t>
      </w:r>
    </w:p>
    <w:p w14:paraId="6D9B3941">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14.对比验证，与质检部门对比，抗压强度超差扣20元/次（当班成型操作人员），其余项目超差扣5元/次。</w:t>
      </w:r>
    </w:p>
    <w:p w14:paraId="0AFBADDC">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12.按规规范填写质量台账，实验原始记录要书写清楚，计算准确，不得任意涂改。如发生笔误须更正后加盖私章。未按规定进行登账工作的，扣5元/次。</w:t>
      </w:r>
    </w:p>
    <w:p w14:paraId="29CB725D">
      <w:pPr>
        <w:spacing w:line="480" w:lineRule="exact"/>
        <w:ind w:left="839" w:leftChars="266" w:hanging="280" w:hangingChars="1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13.本班做完试验后须做好操作台面、环境卫生、设备卫生的清洁工作。未按要求的扣5元/次。</w:t>
      </w:r>
    </w:p>
    <w:p w14:paraId="53F658B7">
      <w:pPr>
        <w:spacing w:line="480" w:lineRule="exact"/>
        <w:rPr>
          <w:rFonts w:ascii="仿宋_GB2312" w:hAnsi="仿宋_GB2312" w:eastAsia="仿宋_GB2312" w:cs="仿宋_GB2312"/>
          <w:color w:val="auto"/>
          <w:sz w:val="28"/>
          <w:szCs w:val="28"/>
          <w:highlight w:val="none"/>
        </w:rPr>
      </w:pPr>
    </w:p>
    <w:p w14:paraId="640A020C">
      <w:pPr>
        <w:spacing w:line="480" w:lineRule="exact"/>
        <w:rPr>
          <w:rFonts w:ascii="仿宋_GB2312" w:hAnsi="仿宋_GB2312" w:eastAsia="仿宋_GB2312" w:cs="仿宋_GB2312"/>
          <w:color w:val="auto"/>
          <w:sz w:val="28"/>
          <w:szCs w:val="28"/>
          <w:highlight w:val="none"/>
        </w:rPr>
      </w:pPr>
    </w:p>
    <w:p w14:paraId="0D743853">
      <w:pPr>
        <w:spacing w:line="480" w:lineRule="exact"/>
        <w:rPr>
          <w:rFonts w:ascii="仿宋_GB2312" w:hAnsi="仿宋_GB2312" w:eastAsia="仿宋_GB2312" w:cs="仿宋_GB2312"/>
          <w:color w:val="auto"/>
          <w:sz w:val="28"/>
          <w:szCs w:val="28"/>
          <w:highlight w:val="none"/>
        </w:rPr>
      </w:pPr>
    </w:p>
    <w:p w14:paraId="2D46B82C">
      <w:pPr>
        <w:spacing w:line="480" w:lineRule="exact"/>
        <w:rPr>
          <w:rFonts w:ascii="仿宋_GB2312" w:hAnsi="仿宋_GB2312" w:eastAsia="仿宋_GB2312" w:cs="仿宋_GB2312"/>
          <w:color w:val="auto"/>
          <w:sz w:val="28"/>
          <w:szCs w:val="28"/>
          <w:highlight w:val="none"/>
        </w:rPr>
      </w:pPr>
    </w:p>
    <w:p w14:paraId="4ECE7452">
      <w:pP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br w:type="page"/>
      </w:r>
    </w:p>
    <w:p w14:paraId="5A7FA5AC">
      <w:pPr>
        <w:jc w:val="lef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附件3：</w:t>
      </w:r>
    </w:p>
    <w:p w14:paraId="3B842238">
      <w:pPr>
        <w:jc w:val="center"/>
        <w:rPr>
          <w:rFonts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福建省宁德建福建材有限公司水泥生产</w:t>
      </w:r>
    </w:p>
    <w:p w14:paraId="51350096">
      <w:pPr>
        <w:spacing w:line="480" w:lineRule="exact"/>
        <w:jc w:val="center"/>
        <w:rPr>
          <w:rFonts w:ascii="仿宋_GB2312" w:hAnsi="仿宋_GB2312" w:eastAsia="仿宋_GB2312" w:cs="仿宋_GB2312"/>
          <w:b/>
          <w:color w:val="auto"/>
          <w:sz w:val="28"/>
          <w:szCs w:val="28"/>
          <w:highlight w:val="none"/>
        </w:rPr>
      </w:pPr>
      <w:r>
        <w:rPr>
          <w:rFonts w:hint="eastAsia" w:ascii="仿宋_GB2312" w:hAnsi="仿宋_GB2312" w:eastAsia="仿宋_GB2312" w:cs="仿宋_GB2312"/>
          <w:b/>
          <w:bCs/>
          <w:color w:val="auto"/>
          <w:sz w:val="28"/>
          <w:szCs w:val="28"/>
          <w:highlight w:val="none"/>
        </w:rPr>
        <w:t>劳务承包期间</w:t>
      </w:r>
      <w:r>
        <w:rPr>
          <w:rFonts w:hint="eastAsia" w:ascii="仿宋_GB2312" w:hAnsi="仿宋_GB2312" w:eastAsia="仿宋_GB2312" w:cs="仿宋_GB2312"/>
          <w:b/>
          <w:color w:val="auto"/>
          <w:sz w:val="28"/>
          <w:szCs w:val="28"/>
          <w:highlight w:val="none"/>
        </w:rPr>
        <w:t>装备管理考核办法</w:t>
      </w:r>
    </w:p>
    <w:p w14:paraId="744CB611">
      <w:pPr>
        <w:spacing w:line="440" w:lineRule="exact"/>
        <w:ind w:firstLine="560" w:firstLineChars="200"/>
        <w:jc w:val="lef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为了确保水泥生产劳务承包期间装备资产的安全完整、合理合规使用、有效维护，依据《运营管理手册》的重点，特制定宁德建福水泥生产劳务承包期间装备管理办法。</w:t>
      </w:r>
    </w:p>
    <w:p w14:paraId="041AA7CB">
      <w:pPr>
        <w:spacing w:line="440" w:lineRule="exact"/>
        <w:ind w:left="638" w:hanging="638" w:hangingChars="228"/>
        <w:jc w:val="lef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一、所有装备需保持完整，不得随意拆除，确保齐全、完整、紧固；必须正确使用和精心维护，并对其保持完好性和有效性负责；相关技术资料妥善保管。</w:t>
      </w:r>
    </w:p>
    <w:p w14:paraId="606D1828">
      <w:pPr>
        <w:spacing w:line="440" w:lineRule="exact"/>
        <w:ind w:left="638" w:hanging="638" w:hangingChars="228"/>
        <w:jc w:val="lef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二、装备技改必须书面提出申请，得到书面同意后，方可进行施工；新增装备安装、调试完成，需进行调试验收，技术资料等应及时完整归档。</w:t>
      </w:r>
    </w:p>
    <w:p w14:paraId="2945951C">
      <w:pPr>
        <w:spacing w:line="440" w:lineRule="exact"/>
        <w:ind w:left="638" w:hanging="638" w:hangingChars="228"/>
        <w:jc w:val="lef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三、特种装备、器具，计量设备等需按规定报检，并符合相关管理规定要求。特种设备必须是完好运行，严禁带病作业，并定期检查和清扫。特种设备、器具的操作、使用人员，必须特种作业操作证才能驾驶操作。</w:t>
      </w:r>
    </w:p>
    <w:p w14:paraId="5A338ADD">
      <w:pPr>
        <w:spacing w:line="440" w:lineRule="exact"/>
        <w:ind w:left="638" w:hanging="638" w:hangingChars="228"/>
        <w:jc w:val="lef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四、装备的操作、维护人员需定期按装备的安全规程、操作规程等的要求进行培训，必须熟悉设备的原理、结构、性能、用途，掌握设备的使用要求、润滑“五定”和维护保养制度的内容和要求。</w:t>
      </w:r>
    </w:p>
    <w:p w14:paraId="13C9007D">
      <w:pPr>
        <w:spacing w:line="440" w:lineRule="exact"/>
        <w:ind w:left="638" w:hanging="638" w:hangingChars="228"/>
        <w:jc w:val="lef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五、装备的润滑工作应按设备润滑规定（五定原则：即定人、定点、定质、定量、定期）进行，定期换油及润滑工作，并做好相关记录。</w:t>
      </w:r>
    </w:p>
    <w:p w14:paraId="1C451587">
      <w:pPr>
        <w:spacing w:line="440" w:lineRule="exact"/>
        <w:ind w:left="638" w:hanging="638" w:hangingChars="228"/>
        <w:jc w:val="lef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六、装备必须严格按照《设备操作规程》进行设备的操作运行；并且严格执行《设备巡检制度》进行巡视检查、点检等，做好日常维护、保养工作；保持设备的整洁，及时消除设备的“跑冒滴漏”；严格禁止装备超温、超压、超负荷、带病运行；并按规定填写设备运行、维保等记录。技术管理人员应进行定检、专检等工作。</w:t>
      </w:r>
    </w:p>
    <w:p w14:paraId="519FE45C">
      <w:pPr>
        <w:spacing w:line="440" w:lineRule="exact"/>
        <w:ind w:left="638" w:hanging="638" w:hangingChars="228"/>
        <w:jc w:val="lef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七、关键重点装备必须严格执行定人、定机、实行强制保养制度，以确保设备的完好运行。发现问题时应及时解决或反应。关键重点设备要实行重点管理、重点监控、专人负责。</w:t>
      </w:r>
    </w:p>
    <w:p w14:paraId="404C6954">
      <w:pPr>
        <w:spacing w:line="440" w:lineRule="exact"/>
        <w:ind w:left="638" w:hanging="638" w:hangingChars="228"/>
        <w:jc w:val="lef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八、装备的检修须编制设备检修项目计划、检修安全技术方案及任务书并进行技术交底；及时填写办理相关票证；保证检修过程安全和检修质量并及时报备。</w:t>
      </w:r>
    </w:p>
    <w:p w14:paraId="5A3471C8">
      <w:pPr>
        <w:spacing w:line="440" w:lineRule="exact"/>
        <w:ind w:left="638" w:hanging="638" w:hangingChars="228"/>
        <w:jc w:val="lef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九、供用电必须严格执行工作票制度；停送电必须指定专人负责，并严格执行停送电规定；做好电器设备定期试验记录；临时用电必须按照相关管理规定执行。</w:t>
      </w:r>
    </w:p>
    <w:p w14:paraId="1F69B4EA">
      <w:pPr>
        <w:spacing w:line="440" w:lineRule="exact"/>
        <w:ind w:left="638" w:hanging="638" w:hangingChars="228"/>
        <w:jc w:val="lef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十、装备发生事故，必须及时报告并严格按“四不放过”的原则进行处理和报备。</w:t>
      </w:r>
    </w:p>
    <w:p w14:paraId="19D02C56">
      <w:pPr>
        <w:spacing w:line="440" w:lineRule="exact"/>
        <w:ind w:left="638" w:hanging="638" w:hangingChars="228"/>
        <w:jc w:val="left"/>
        <w:rPr>
          <w:rFonts w:ascii="仿宋_GB2312" w:hAnsi="仿宋_GB2312" w:eastAsia="仿宋_GB2312" w:cs="仿宋_GB2312"/>
          <w:bCs/>
          <w:color w:val="auto"/>
          <w:spacing w:val="-13"/>
          <w:sz w:val="28"/>
          <w:szCs w:val="28"/>
          <w:highlight w:val="none"/>
        </w:rPr>
      </w:pPr>
      <w:r>
        <w:rPr>
          <w:rFonts w:hint="eastAsia" w:ascii="仿宋_GB2312" w:hAnsi="仿宋_GB2312" w:eastAsia="仿宋_GB2312" w:cs="仿宋_GB2312"/>
          <w:color w:val="auto"/>
          <w:sz w:val="28"/>
          <w:szCs w:val="28"/>
          <w:highlight w:val="none"/>
        </w:rPr>
        <w:t>十一、装备的原始（随机）资料统一交档案室登记、保存管理，若有需要可借阅复印件；装备的各种记录及统计报表等需完整真实。</w:t>
      </w:r>
    </w:p>
    <w:p w14:paraId="5310D58C">
      <w:pPr>
        <w:widowControl/>
        <w:spacing w:line="440" w:lineRule="exact"/>
        <w:rPr>
          <w:rFonts w:ascii="仿宋_GB2312" w:hAnsi="仿宋_GB2312" w:eastAsia="仿宋_GB2312" w:cs="仿宋_GB2312"/>
          <w:bCs/>
          <w:color w:val="auto"/>
          <w:spacing w:val="-13"/>
          <w:sz w:val="28"/>
          <w:szCs w:val="28"/>
          <w:highlight w:val="none"/>
        </w:rPr>
      </w:pPr>
      <w:r>
        <w:rPr>
          <w:rFonts w:hint="eastAsia" w:ascii="仿宋_GB2312" w:hAnsi="仿宋_GB2312" w:eastAsia="仿宋_GB2312" w:cs="仿宋_GB2312"/>
          <w:bCs/>
          <w:color w:val="auto"/>
          <w:spacing w:val="-13"/>
          <w:sz w:val="28"/>
          <w:szCs w:val="28"/>
          <w:highlight w:val="none"/>
        </w:rPr>
        <w:t>十二、装备管理考核</w:t>
      </w:r>
    </w:p>
    <w:tbl>
      <w:tblPr>
        <w:tblStyle w:val="7"/>
        <w:tblpPr w:leftFromText="180" w:rightFromText="180" w:vertAnchor="text" w:horzAnchor="margin" w:tblpX="108" w:tblpY="113"/>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27"/>
        <w:gridCol w:w="5528"/>
      </w:tblGrid>
      <w:tr w14:paraId="6993A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3227" w:type="dxa"/>
            <w:shd w:val="clear" w:color="auto" w:fill="auto"/>
            <w:vAlign w:val="center"/>
          </w:tcPr>
          <w:p w14:paraId="3D495FE6">
            <w:pPr>
              <w:widowControl/>
              <w:spacing w:line="320" w:lineRule="exact"/>
              <w:jc w:val="center"/>
              <w:rPr>
                <w:rFonts w:ascii="仿宋_GB2312" w:hAnsi="仿宋_GB2312" w:eastAsia="仿宋_GB2312" w:cs="仿宋_GB2312"/>
                <w:b/>
                <w:color w:val="auto"/>
                <w:sz w:val="24"/>
                <w:highlight w:val="none"/>
              </w:rPr>
            </w:pPr>
            <w:r>
              <w:rPr>
                <w:rFonts w:hint="eastAsia" w:ascii="仿宋_GB2312" w:hAnsi="仿宋_GB2312" w:eastAsia="仿宋_GB2312" w:cs="仿宋_GB2312"/>
                <w:b/>
                <w:color w:val="auto"/>
                <w:sz w:val="24"/>
                <w:highlight w:val="none"/>
              </w:rPr>
              <w:t>项目内容</w:t>
            </w:r>
          </w:p>
        </w:tc>
        <w:tc>
          <w:tcPr>
            <w:tcW w:w="5528" w:type="dxa"/>
            <w:shd w:val="clear" w:color="auto" w:fill="auto"/>
            <w:vAlign w:val="center"/>
          </w:tcPr>
          <w:p w14:paraId="5FC55F81">
            <w:pPr>
              <w:widowControl/>
              <w:spacing w:line="320" w:lineRule="exact"/>
              <w:jc w:val="center"/>
              <w:rPr>
                <w:rFonts w:ascii="仿宋_GB2312" w:hAnsi="仿宋_GB2312" w:eastAsia="仿宋_GB2312" w:cs="仿宋_GB2312"/>
                <w:b/>
                <w:color w:val="auto"/>
                <w:sz w:val="24"/>
                <w:highlight w:val="none"/>
              </w:rPr>
            </w:pPr>
            <w:r>
              <w:rPr>
                <w:rFonts w:hint="eastAsia" w:ascii="仿宋_GB2312" w:hAnsi="仿宋_GB2312" w:eastAsia="仿宋_GB2312" w:cs="仿宋_GB2312"/>
                <w:b/>
                <w:color w:val="auto"/>
                <w:sz w:val="24"/>
                <w:highlight w:val="none"/>
              </w:rPr>
              <w:t>考  核  标  准</w:t>
            </w:r>
          </w:p>
        </w:tc>
      </w:tr>
      <w:tr w14:paraId="3B4B4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3227" w:type="dxa"/>
            <w:shd w:val="clear" w:color="auto" w:fill="auto"/>
            <w:vAlign w:val="center"/>
          </w:tcPr>
          <w:p w14:paraId="1E94A41E">
            <w:pPr>
              <w:widowControl/>
              <w:spacing w:line="320" w:lineRule="exact"/>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装备的安全完好和有效性管理</w:t>
            </w:r>
          </w:p>
        </w:tc>
        <w:tc>
          <w:tcPr>
            <w:tcW w:w="5528" w:type="dxa"/>
            <w:shd w:val="clear" w:color="auto" w:fill="auto"/>
            <w:vAlign w:val="center"/>
          </w:tcPr>
          <w:p w14:paraId="582C1177">
            <w:pPr>
              <w:widowControl/>
              <w:spacing w:line="320" w:lineRule="exact"/>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1、未经批准随意拆除，考核500元/项次；</w:t>
            </w:r>
            <w:r>
              <w:rPr>
                <w:rFonts w:hint="eastAsia" w:ascii="仿宋_GB2312" w:hAnsi="仿宋_GB2312" w:eastAsia="仿宋_GB2312" w:cs="仿宋_GB2312"/>
                <w:color w:val="auto"/>
                <w:sz w:val="24"/>
                <w:highlight w:val="none"/>
              </w:rPr>
              <w:br w:type="textWrapping"/>
            </w:r>
            <w:r>
              <w:rPr>
                <w:rFonts w:hint="eastAsia" w:ascii="仿宋_GB2312" w:hAnsi="仿宋_GB2312" w:eastAsia="仿宋_GB2312" w:cs="仿宋_GB2312"/>
                <w:color w:val="auto"/>
                <w:sz w:val="24"/>
                <w:highlight w:val="none"/>
              </w:rPr>
              <w:t>2、零部件、保护设施等缺失，考核100元/项次</w:t>
            </w:r>
          </w:p>
        </w:tc>
      </w:tr>
      <w:tr w14:paraId="2D3FF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3227" w:type="dxa"/>
            <w:shd w:val="clear" w:color="auto" w:fill="auto"/>
            <w:vAlign w:val="center"/>
          </w:tcPr>
          <w:p w14:paraId="3AD79F73">
            <w:pPr>
              <w:widowControl/>
              <w:spacing w:line="320" w:lineRule="exact"/>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装备技改的合规管理</w:t>
            </w:r>
          </w:p>
        </w:tc>
        <w:tc>
          <w:tcPr>
            <w:tcW w:w="5528" w:type="dxa"/>
            <w:shd w:val="clear" w:color="auto" w:fill="auto"/>
            <w:vAlign w:val="center"/>
          </w:tcPr>
          <w:p w14:paraId="502EC163">
            <w:pPr>
              <w:widowControl/>
              <w:spacing w:line="320" w:lineRule="exact"/>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1、未按约定报批，擅自施工，考核1000元/项次；</w:t>
            </w:r>
            <w:r>
              <w:rPr>
                <w:rFonts w:hint="eastAsia" w:ascii="仿宋_GB2312" w:hAnsi="仿宋_GB2312" w:eastAsia="仿宋_GB2312" w:cs="仿宋_GB2312"/>
                <w:color w:val="auto"/>
                <w:sz w:val="24"/>
                <w:highlight w:val="none"/>
              </w:rPr>
              <w:br w:type="textWrapping"/>
            </w:r>
            <w:r>
              <w:rPr>
                <w:rFonts w:hint="eastAsia" w:ascii="仿宋_GB2312" w:hAnsi="仿宋_GB2312" w:eastAsia="仿宋_GB2312" w:cs="仿宋_GB2312"/>
                <w:color w:val="auto"/>
                <w:sz w:val="24"/>
                <w:highlight w:val="none"/>
              </w:rPr>
              <w:t>2、未按规定进行验收、资料未完整归档，考核100元/项次；</w:t>
            </w:r>
            <w:r>
              <w:rPr>
                <w:rFonts w:hint="eastAsia" w:ascii="仿宋_GB2312" w:hAnsi="仿宋_GB2312" w:eastAsia="仿宋_GB2312" w:cs="仿宋_GB2312"/>
                <w:color w:val="auto"/>
                <w:sz w:val="24"/>
                <w:highlight w:val="none"/>
              </w:rPr>
              <w:br w:type="textWrapping"/>
            </w:r>
            <w:r>
              <w:rPr>
                <w:rFonts w:hint="eastAsia" w:ascii="仿宋_GB2312" w:hAnsi="仿宋_GB2312" w:eastAsia="仿宋_GB2312" w:cs="仿宋_GB2312"/>
                <w:color w:val="auto"/>
                <w:sz w:val="24"/>
                <w:highlight w:val="none"/>
              </w:rPr>
              <w:t>3、技改中拆除的设备未完整保全，考核200元/项次.</w:t>
            </w:r>
          </w:p>
        </w:tc>
      </w:tr>
      <w:tr w14:paraId="151A0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3227" w:type="dxa"/>
            <w:shd w:val="clear" w:color="auto" w:fill="auto"/>
            <w:vAlign w:val="center"/>
          </w:tcPr>
          <w:p w14:paraId="0CFF22A7">
            <w:pPr>
              <w:widowControl/>
              <w:spacing w:line="320" w:lineRule="exact"/>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特种设备、器具管理</w:t>
            </w:r>
          </w:p>
        </w:tc>
        <w:tc>
          <w:tcPr>
            <w:tcW w:w="5528" w:type="dxa"/>
            <w:shd w:val="clear" w:color="auto" w:fill="auto"/>
            <w:vAlign w:val="center"/>
          </w:tcPr>
          <w:p w14:paraId="607376A7">
            <w:pPr>
              <w:widowControl/>
              <w:spacing w:line="320" w:lineRule="exact"/>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1、未按规定及时报检、送检，考核100元/项次；</w:t>
            </w:r>
            <w:r>
              <w:rPr>
                <w:rFonts w:hint="eastAsia" w:ascii="仿宋_GB2312" w:hAnsi="仿宋_GB2312" w:eastAsia="仿宋_GB2312" w:cs="仿宋_GB2312"/>
                <w:color w:val="auto"/>
                <w:sz w:val="24"/>
                <w:highlight w:val="none"/>
              </w:rPr>
              <w:br w:type="textWrapping"/>
            </w:r>
            <w:r>
              <w:rPr>
                <w:rFonts w:hint="eastAsia" w:ascii="仿宋_GB2312" w:hAnsi="仿宋_GB2312" w:eastAsia="仿宋_GB2312" w:cs="仿宋_GB2312"/>
                <w:color w:val="auto"/>
                <w:sz w:val="24"/>
                <w:highlight w:val="none"/>
              </w:rPr>
              <w:t>2、操作人员无证上岗，考核100元/项次。</w:t>
            </w:r>
          </w:p>
        </w:tc>
      </w:tr>
      <w:tr w14:paraId="6C785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3227" w:type="dxa"/>
            <w:shd w:val="clear" w:color="auto" w:fill="auto"/>
            <w:vAlign w:val="center"/>
          </w:tcPr>
          <w:p w14:paraId="6D79A167">
            <w:pPr>
              <w:widowControl/>
              <w:spacing w:line="320" w:lineRule="exact"/>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设备润滑管理</w:t>
            </w:r>
          </w:p>
        </w:tc>
        <w:tc>
          <w:tcPr>
            <w:tcW w:w="5528" w:type="dxa"/>
            <w:shd w:val="clear" w:color="auto" w:fill="auto"/>
            <w:vAlign w:val="center"/>
          </w:tcPr>
          <w:p w14:paraId="4952101B">
            <w:pPr>
              <w:widowControl/>
              <w:spacing w:line="320" w:lineRule="exact"/>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1、润滑台账不齐全、记录不完整，考核100元/项次；</w:t>
            </w:r>
            <w:r>
              <w:rPr>
                <w:rFonts w:hint="eastAsia" w:ascii="仿宋_GB2312" w:hAnsi="仿宋_GB2312" w:eastAsia="仿宋_GB2312" w:cs="仿宋_GB2312"/>
                <w:color w:val="auto"/>
                <w:sz w:val="24"/>
                <w:highlight w:val="none"/>
              </w:rPr>
              <w:br w:type="textWrapping"/>
            </w:r>
            <w:r>
              <w:rPr>
                <w:rFonts w:hint="eastAsia" w:ascii="仿宋_GB2312" w:hAnsi="仿宋_GB2312" w:eastAsia="仿宋_GB2312" w:cs="仿宋_GB2312"/>
                <w:color w:val="auto"/>
                <w:sz w:val="24"/>
                <w:highlight w:val="none"/>
              </w:rPr>
              <w:t>2、润滑工作不到位，未按“五定”要求进行维护保养，考核200元/项次；</w:t>
            </w:r>
            <w:r>
              <w:rPr>
                <w:rFonts w:hint="eastAsia" w:ascii="仿宋_GB2312" w:hAnsi="仿宋_GB2312" w:eastAsia="仿宋_GB2312" w:cs="仿宋_GB2312"/>
                <w:color w:val="auto"/>
                <w:sz w:val="24"/>
                <w:highlight w:val="none"/>
              </w:rPr>
              <w:br w:type="textWrapping"/>
            </w:r>
            <w:r>
              <w:rPr>
                <w:rFonts w:hint="eastAsia" w:ascii="仿宋_GB2312" w:hAnsi="仿宋_GB2312" w:eastAsia="仿宋_GB2312" w:cs="仿宋_GB2312"/>
                <w:color w:val="auto"/>
                <w:sz w:val="24"/>
                <w:highlight w:val="none"/>
              </w:rPr>
              <w:t>3、油品未按规定周期进行取样检测，使用不合规油品，考核200元/项次。</w:t>
            </w:r>
          </w:p>
        </w:tc>
      </w:tr>
      <w:tr w14:paraId="7AB08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3227" w:type="dxa"/>
            <w:shd w:val="clear" w:color="auto" w:fill="auto"/>
            <w:vAlign w:val="center"/>
          </w:tcPr>
          <w:p w14:paraId="67BCD2CA">
            <w:pPr>
              <w:widowControl/>
              <w:spacing w:line="320" w:lineRule="exact"/>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日常管理</w:t>
            </w:r>
          </w:p>
        </w:tc>
        <w:tc>
          <w:tcPr>
            <w:tcW w:w="5528" w:type="dxa"/>
            <w:shd w:val="clear" w:color="auto" w:fill="auto"/>
            <w:vAlign w:val="center"/>
          </w:tcPr>
          <w:p w14:paraId="774AC9D6">
            <w:pPr>
              <w:widowControl/>
              <w:spacing w:line="320" w:lineRule="exact"/>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1、未按规定要求开展巡检和记录，考核100元/项次；</w:t>
            </w:r>
            <w:r>
              <w:rPr>
                <w:rFonts w:hint="eastAsia" w:ascii="仿宋_GB2312" w:hAnsi="仿宋_GB2312" w:eastAsia="仿宋_GB2312" w:cs="仿宋_GB2312"/>
                <w:color w:val="auto"/>
                <w:sz w:val="24"/>
                <w:highlight w:val="none"/>
              </w:rPr>
              <w:br w:type="textWrapping"/>
            </w:r>
            <w:r>
              <w:rPr>
                <w:rFonts w:hint="eastAsia" w:ascii="仿宋_GB2312" w:hAnsi="仿宋_GB2312" w:eastAsia="仿宋_GB2312" w:cs="仿宋_GB2312"/>
                <w:color w:val="auto"/>
                <w:sz w:val="24"/>
                <w:highlight w:val="none"/>
              </w:rPr>
              <w:t>2、</w:t>
            </w:r>
            <w:r>
              <w:rPr>
                <w:rFonts w:hint="eastAsia" w:ascii="仿宋_GB2312" w:hAnsi="仿宋_GB2312" w:eastAsia="仿宋_GB2312" w:cs="仿宋_GB2312"/>
                <w:color w:val="auto"/>
                <w:spacing w:val="-13"/>
                <w:sz w:val="24"/>
                <w:highlight w:val="none"/>
              </w:rPr>
              <w:t>装备超温、超压、超负荷、带病运行，</w:t>
            </w:r>
            <w:r>
              <w:rPr>
                <w:rFonts w:hint="eastAsia" w:ascii="仿宋_GB2312" w:hAnsi="仿宋_GB2312" w:eastAsia="仿宋_GB2312" w:cs="仿宋_GB2312"/>
                <w:color w:val="auto"/>
                <w:sz w:val="24"/>
                <w:highlight w:val="none"/>
              </w:rPr>
              <w:t>考核200元/项次；</w:t>
            </w:r>
            <w:r>
              <w:rPr>
                <w:rFonts w:hint="eastAsia" w:ascii="仿宋_GB2312" w:hAnsi="仿宋_GB2312" w:eastAsia="仿宋_GB2312" w:cs="仿宋_GB2312"/>
                <w:color w:val="auto"/>
                <w:sz w:val="24"/>
                <w:highlight w:val="none"/>
              </w:rPr>
              <w:br w:type="textWrapping"/>
            </w:r>
            <w:r>
              <w:rPr>
                <w:rFonts w:hint="eastAsia" w:ascii="仿宋_GB2312" w:hAnsi="仿宋_GB2312" w:eastAsia="仿宋_GB2312" w:cs="仿宋_GB2312"/>
                <w:color w:val="auto"/>
                <w:sz w:val="24"/>
                <w:highlight w:val="none"/>
              </w:rPr>
              <w:t>3、未进行定检、专检，考核200元/项次；</w:t>
            </w:r>
            <w:r>
              <w:rPr>
                <w:rFonts w:hint="eastAsia" w:ascii="仿宋_GB2312" w:hAnsi="仿宋_GB2312" w:eastAsia="仿宋_GB2312" w:cs="仿宋_GB2312"/>
                <w:color w:val="auto"/>
                <w:sz w:val="24"/>
                <w:highlight w:val="none"/>
              </w:rPr>
              <w:br w:type="textWrapping"/>
            </w:r>
            <w:r>
              <w:rPr>
                <w:rFonts w:hint="eastAsia" w:ascii="仿宋_GB2312" w:hAnsi="仿宋_GB2312" w:eastAsia="仿宋_GB2312" w:cs="仿宋_GB2312"/>
                <w:color w:val="auto"/>
                <w:sz w:val="24"/>
                <w:highlight w:val="none"/>
              </w:rPr>
              <w:t>4、设备运转不正常，未采取措施，故障未排除而继续生产；考核300元/项次；</w:t>
            </w:r>
            <w:r>
              <w:rPr>
                <w:rFonts w:hint="eastAsia" w:ascii="仿宋_GB2312" w:hAnsi="仿宋_GB2312" w:eastAsia="仿宋_GB2312" w:cs="仿宋_GB2312"/>
                <w:color w:val="auto"/>
                <w:sz w:val="24"/>
                <w:highlight w:val="none"/>
              </w:rPr>
              <w:br w:type="textWrapping"/>
            </w:r>
            <w:r>
              <w:rPr>
                <w:rFonts w:hint="eastAsia" w:ascii="仿宋_GB2312" w:hAnsi="仿宋_GB2312" w:eastAsia="仿宋_GB2312" w:cs="仿宋_GB2312"/>
                <w:color w:val="auto"/>
                <w:sz w:val="24"/>
                <w:highlight w:val="none"/>
              </w:rPr>
              <w:t>5、设备运行状态监测、保护装置缺失或失效，考核100元/项次；</w:t>
            </w:r>
            <w:r>
              <w:rPr>
                <w:rFonts w:hint="eastAsia" w:ascii="仿宋_GB2312" w:hAnsi="仿宋_GB2312" w:eastAsia="仿宋_GB2312" w:cs="仿宋_GB2312"/>
                <w:color w:val="auto"/>
                <w:sz w:val="24"/>
                <w:highlight w:val="none"/>
              </w:rPr>
              <w:br w:type="textWrapping"/>
            </w:r>
            <w:r>
              <w:rPr>
                <w:rFonts w:hint="eastAsia" w:ascii="仿宋_GB2312" w:hAnsi="仿宋_GB2312" w:eastAsia="仿宋_GB2312" w:cs="仿宋_GB2312"/>
                <w:color w:val="auto"/>
                <w:spacing w:val="-13"/>
                <w:sz w:val="24"/>
                <w:highlight w:val="none"/>
              </w:rPr>
              <w:t>6、关键重点设备未实行重点管理、重点监控、专人负责，</w:t>
            </w:r>
            <w:r>
              <w:rPr>
                <w:rFonts w:hint="eastAsia" w:ascii="仿宋_GB2312" w:hAnsi="仿宋_GB2312" w:eastAsia="仿宋_GB2312" w:cs="仿宋_GB2312"/>
                <w:color w:val="auto"/>
                <w:sz w:val="24"/>
                <w:highlight w:val="none"/>
              </w:rPr>
              <w:t>考核200元/项次。</w:t>
            </w:r>
          </w:p>
        </w:tc>
      </w:tr>
      <w:tr w14:paraId="55F12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3227" w:type="dxa"/>
            <w:shd w:val="clear" w:color="auto" w:fill="auto"/>
            <w:vAlign w:val="center"/>
          </w:tcPr>
          <w:p w14:paraId="628430DF">
            <w:pPr>
              <w:widowControl/>
              <w:spacing w:line="320" w:lineRule="exact"/>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设备检修管理</w:t>
            </w:r>
          </w:p>
        </w:tc>
        <w:tc>
          <w:tcPr>
            <w:tcW w:w="5528" w:type="dxa"/>
            <w:shd w:val="clear" w:color="auto" w:fill="auto"/>
            <w:vAlign w:val="center"/>
          </w:tcPr>
          <w:p w14:paraId="4FA868AA">
            <w:pPr>
              <w:widowControl/>
              <w:spacing w:line="320" w:lineRule="exact"/>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1、未编制检修计划、检修计划不合理或计划未报备，考核200元/项次；</w:t>
            </w:r>
            <w:r>
              <w:rPr>
                <w:rFonts w:hint="eastAsia" w:ascii="仿宋_GB2312" w:hAnsi="仿宋_GB2312" w:eastAsia="仿宋_GB2312" w:cs="仿宋_GB2312"/>
                <w:color w:val="auto"/>
                <w:sz w:val="24"/>
                <w:highlight w:val="none"/>
              </w:rPr>
              <w:br w:type="textWrapping"/>
            </w:r>
            <w:r>
              <w:rPr>
                <w:rFonts w:hint="eastAsia" w:ascii="仿宋_GB2312" w:hAnsi="仿宋_GB2312" w:eastAsia="仿宋_GB2312" w:cs="仿宋_GB2312"/>
                <w:color w:val="auto"/>
                <w:sz w:val="24"/>
                <w:highlight w:val="none"/>
              </w:rPr>
              <w:t>2、无安全技术方案、方案未交底、未填写办理相关票证，考核200元/项次；</w:t>
            </w:r>
            <w:r>
              <w:rPr>
                <w:rFonts w:hint="eastAsia" w:ascii="仿宋_GB2312" w:hAnsi="仿宋_GB2312" w:eastAsia="仿宋_GB2312" w:cs="仿宋_GB2312"/>
                <w:color w:val="auto"/>
                <w:sz w:val="24"/>
                <w:highlight w:val="none"/>
              </w:rPr>
              <w:br w:type="textWrapping"/>
            </w:r>
            <w:r>
              <w:rPr>
                <w:rFonts w:hint="eastAsia" w:ascii="仿宋_GB2312" w:hAnsi="仿宋_GB2312" w:eastAsia="仿宋_GB2312" w:cs="仿宋_GB2312"/>
                <w:color w:val="auto"/>
                <w:sz w:val="24"/>
                <w:highlight w:val="none"/>
              </w:rPr>
              <w:t>3、主机检修完成后开展验收，考核200元/项次；</w:t>
            </w:r>
            <w:r>
              <w:rPr>
                <w:rFonts w:hint="eastAsia" w:ascii="仿宋_GB2312" w:hAnsi="仿宋_GB2312" w:eastAsia="仿宋_GB2312" w:cs="仿宋_GB2312"/>
                <w:color w:val="auto"/>
                <w:sz w:val="24"/>
                <w:highlight w:val="none"/>
              </w:rPr>
              <w:br w:type="textWrapping"/>
            </w:r>
            <w:r>
              <w:rPr>
                <w:rFonts w:hint="eastAsia" w:ascii="仿宋_GB2312" w:hAnsi="仿宋_GB2312" w:eastAsia="仿宋_GB2312" w:cs="仿宋_GB2312"/>
                <w:color w:val="auto"/>
                <w:sz w:val="24"/>
                <w:highlight w:val="none"/>
              </w:rPr>
              <w:t>4、主机维修档案记录不完整，考核100元/项次。</w:t>
            </w:r>
          </w:p>
        </w:tc>
      </w:tr>
      <w:tr w14:paraId="615BB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3" w:hRule="atLeast"/>
        </w:trPr>
        <w:tc>
          <w:tcPr>
            <w:tcW w:w="3227" w:type="dxa"/>
            <w:shd w:val="clear" w:color="auto" w:fill="auto"/>
            <w:vAlign w:val="center"/>
          </w:tcPr>
          <w:p w14:paraId="2DE7F81D">
            <w:pPr>
              <w:widowControl/>
              <w:spacing w:line="320" w:lineRule="exact"/>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供用电管理</w:t>
            </w:r>
          </w:p>
        </w:tc>
        <w:tc>
          <w:tcPr>
            <w:tcW w:w="5528" w:type="dxa"/>
            <w:shd w:val="clear" w:color="auto" w:fill="auto"/>
            <w:vAlign w:val="center"/>
          </w:tcPr>
          <w:p w14:paraId="0DE5D3BE">
            <w:pPr>
              <w:widowControl/>
              <w:spacing w:line="320" w:lineRule="exact"/>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1、未执行工作票制度，考核500元/项次；</w:t>
            </w:r>
            <w:r>
              <w:rPr>
                <w:rFonts w:hint="eastAsia" w:ascii="仿宋_GB2312" w:hAnsi="仿宋_GB2312" w:eastAsia="仿宋_GB2312" w:cs="仿宋_GB2312"/>
                <w:color w:val="auto"/>
                <w:sz w:val="24"/>
                <w:highlight w:val="none"/>
              </w:rPr>
              <w:br w:type="textWrapping"/>
            </w:r>
            <w:r>
              <w:rPr>
                <w:rFonts w:hint="eastAsia" w:ascii="仿宋_GB2312" w:hAnsi="仿宋_GB2312" w:eastAsia="仿宋_GB2312" w:cs="仿宋_GB2312"/>
                <w:color w:val="auto"/>
                <w:sz w:val="24"/>
                <w:highlight w:val="none"/>
              </w:rPr>
              <w:t>2、停送电未指定专人负责，没有按规定执行停送电制度，考核300元/项次；</w:t>
            </w:r>
            <w:r>
              <w:rPr>
                <w:rFonts w:hint="eastAsia" w:ascii="仿宋_GB2312" w:hAnsi="仿宋_GB2312" w:eastAsia="仿宋_GB2312" w:cs="仿宋_GB2312"/>
                <w:color w:val="auto"/>
                <w:sz w:val="24"/>
                <w:highlight w:val="none"/>
              </w:rPr>
              <w:br w:type="textWrapping"/>
            </w:r>
            <w:r>
              <w:rPr>
                <w:rFonts w:hint="eastAsia" w:ascii="仿宋_GB2312" w:hAnsi="仿宋_GB2312" w:eastAsia="仿宋_GB2312" w:cs="仿宋_GB2312"/>
                <w:color w:val="auto"/>
                <w:sz w:val="24"/>
                <w:highlight w:val="none"/>
              </w:rPr>
              <w:t>3、电器设备未按规定定期试验，试验记录不全，考核100元/项次；</w:t>
            </w:r>
            <w:r>
              <w:rPr>
                <w:rFonts w:hint="eastAsia" w:ascii="仿宋_GB2312" w:hAnsi="仿宋_GB2312" w:eastAsia="仿宋_GB2312" w:cs="仿宋_GB2312"/>
                <w:color w:val="auto"/>
                <w:sz w:val="24"/>
                <w:highlight w:val="none"/>
              </w:rPr>
              <w:br w:type="textWrapping"/>
            </w:r>
            <w:r>
              <w:rPr>
                <w:rFonts w:hint="eastAsia" w:ascii="仿宋_GB2312" w:hAnsi="仿宋_GB2312" w:eastAsia="仿宋_GB2312" w:cs="仿宋_GB2312"/>
                <w:color w:val="auto"/>
                <w:sz w:val="24"/>
                <w:highlight w:val="none"/>
              </w:rPr>
              <w:t>4、临时用电未按相关制度执行，考核200元/项次。</w:t>
            </w:r>
          </w:p>
        </w:tc>
      </w:tr>
      <w:tr w14:paraId="3B4E3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trPr>
        <w:tc>
          <w:tcPr>
            <w:tcW w:w="3227" w:type="dxa"/>
            <w:shd w:val="clear" w:color="auto" w:fill="auto"/>
            <w:vAlign w:val="center"/>
          </w:tcPr>
          <w:p w14:paraId="2BF0012E">
            <w:pPr>
              <w:widowControl/>
              <w:spacing w:line="320" w:lineRule="exact"/>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装备事故管理</w:t>
            </w:r>
          </w:p>
        </w:tc>
        <w:tc>
          <w:tcPr>
            <w:tcW w:w="5528" w:type="dxa"/>
            <w:shd w:val="clear" w:color="auto" w:fill="auto"/>
            <w:vAlign w:val="center"/>
          </w:tcPr>
          <w:p w14:paraId="5ECB78EF">
            <w:pPr>
              <w:widowControl/>
              <w:spacing w:line="320" w:lineRule="exact"/>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1、装备事故隐瞒不报；考核500元/项次</w:t>
            </w:r>
            <w:r>
              <w:rPr>
                <w:rFonts w:hint="eastAsia" w:ascii="仿宋_GB2312" w:hAnsi="仿宋_GB2312" w:eastAsia="仿宋_GB2312" w:cs="仿宋_GB2312"/>
                <w:color w:val="auto"/>
                <w:sz w:val="24"/>
                <w:highlight w:val="none"/>
              </w:rPr>
              <w:br w:type="textWrapping"/>
            </w:r>
            <w:r>
              <w:rPr>
                <w:rFonts w:hint="eastAsia" w:ascii="仿宋_GB2312" w:hAnsi="仿宋_GB2312" w:eastAsia="仿宋_GB2312" w:cs="仿宋_GB2312"/>
                <w:color w:val="auto"/>
                <w:sz w:val="24"/>
                <w:highlight w:val="none"/>
              </w:rPr>
              <w:t>2、设备事故报告不及时/报告不准确/现场描述含糊/无责任人签字/无记录，考核100元/项次。</w:t>
            </w:r>
            <w:r>
              <w:rPr>
                <w:rFonts w:hint="eastAsia" w:ascii="仿宋_GB2312" w:hAnsi="仿宋_GB2312" w:eastAsia="仿宋_GB2312" w:cs="仿宋_GB2312"/>
                <w:color w:val="auto"/>
                <w:sz w:val="24"/>
                <w:highlight w:val="none"/>
              </w:rPr>
              <w:br w:type="textWrapping"/>
            </w:r>
            <w:r>
              <w:rPr>
                <w:rFonts w:hint="eastAsia" w:ascii="仿宋_GB2312" w:hAnsi="仿宋_GB2312" w:eastAsia="仿宋_GB2312" w:cs="仿宋_GB2312"/>
                <w:color w:val="auto"/>
                <w:sz w:val="24"/>
                <w:highlight w:val="none"/>
              </w:rPr>
              <w:t>3、事故未按“四不放过”原则落实/落实不到位，考核200元/项次；</w:t>
            </w:r>
            <w:r>
              <w:rPr>
                <w:rFonts w:hint="eastAsia" w:ascii="仿宋_GB2312" w:hAnsi="仿宋_GB2312" w:eastAsia="仿宋_GB2312" w:cs="仿宋_GB2312"/>
                <w:color w:val="auto"/>
                <w:sz w:val="24"/>
                <w:highlight w:val="none"/>
              </w:rPr>
              <w:br w:type="textWrapping"/>
            </w:r>
            <w:r>
              <w:rPr>
                <w:rFonts w:hint="eastAsia" w:ascii="仿宋_GB2312" w:hAnsi="仿宋_GB2312" w:eastAsia="仿宋_GB2312" w:cs="仿宋_GB2312"/>
                <w:color w:val="auto"/>
                <w:sz w:val="24"/>
                <w:highlight w:val="none"/>
              </w:rPr>
              <w:t>4、按管理手册相关规定处理。</w:t>
            </w:r>
          </w:p>
        </w:tc>
      </w:tr>
    </w:tbl>
    <w:p w14:paraId="1F0E6A4D">
      <w:pPr>
        <w:widowControl/>
        <w:spacing w:line="480" w:lineRule="exact"/>
        <w:ind w:right="565" w:rightChars="269" w:firstLine="508" w:firstLineChars="200"/>
        <w:jc w:val="right"/>
        <w:rPr>
          <w:rFonts w:ascii="仿宋_GB2312" w:hAnsi="仿宋_GB2312" w:eastAsia="仿宋_GB2312" w:cs="仿宋_GB2312"/>
          <w:bCs/>
          <w:color w:val="auto"/>
          <w:spacing w:val="-13"/>
          <w:sz w:val="28"/>
          <w:szCs w:val="28"/>
          <w:highlight w:val="none"/>
        </w:rPr>
      </w:pPr>
    </w:p>
    <w:p w14:paraId="2CCE701B">
      <w:pP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br w:type="page"/>
      </w:r>
    </w:p>
    <w:p w14:paraId="5B9198AD">
      <w:pPr>
        <w:jc w:val="lef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附件4：</w:t>
      </w:r>
    </w:p>
    <w:p w14:paraId="32275818">
      <w:pPr>
        <w:spacing w:line="480" w:lineRule="exact"/>
        <w:ind w:firstLine="562" w:firstLineChars="200"/>
        <w:jc w:val="center"/>
        <w:rPr>
          <w:rFonts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水泥磨系统主机设备承包期满后的要求</w:t>
      </w:r>
    </w:p>
    <w:p w14:paraId="608D6538">
      <w:pPr>
        <w:spacing w:line="480" w:lineRule="exact"/>
        <w:jc w:val="left"/>
        <w:rPr>
          <w:rFonts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一、磨机</w:t>
      </w:r>
    </w:p>
    <w:p w14:paraId="66B9735A">
      <w:pPr>
        <w:spacing w:line="480" w:lineRule="exact"/>
        <w:ind w:left="1488" w:leftChars="266" w:hanging="929" w:hangingChars="332"/>
        <w:jc w:val="lef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（一）滑履托瓦：瓦口间隙不得小于0.5mm，插入深度100-150mm。托瓦不能有斑蚀和渗漏润滑油现象。</w:t>
      </w:r>
    </w:p>
    <w:p w14:paraId="6F528FAB">
      <w:pPr>
        <w:spacing w:line="48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（二）磨机内部衬板、筛板、和螺栓不能有断裂情况存在。</w:t>
      </w:r>
    </w:p>
    <w:p w14:paraId="60009185">
      <w:pPr>
        <w:spacing w:line="48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（三）主减速机：齿轮啮合必须稳定、减速机各瓦温必须正常。</w:t>
      </w:r>
    </w:p>
    <w:p w14:paraId="210AEC49">
      <w:pPr>
        <w:spacing w:line="480" w:lineRule="exact"/>
        <w:ind w:left="1477" w:leftChars="266" w:hanging="918" w:hangingChars="328"/>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（四）各稀油站高、低油泵压力，过滤器压差，水冷系统，润滑油不能存在渗漏堵塞情况。</w:t>
      </w:r>
    </w:p>
    <w:p w14:paraId="18D32203">
      <w:pPr>
        <w:spacing w:line="480" w:lineRule="exact"/>
        <w:jc w:val="left"/>
        <w:rPr>
          <w:rFonts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二、辊压机</w:t>
      </w:r>
    </w:p>
    <w:p w14:paraId="371E6E03">
      <w:pPr>
        <w:spacing w:line="480" w:lineRule="exact"/>
        <w:ind w:left="1477" w:leftChars="266" w:hanging="918" w:hangingChars="328"/>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（一）辊面磨损范围：整体辊面平整，没有出现耐磨层剥落和断裂现象，辊面直径偏差不大于12mm。</w:t>
      </w:r>
    </w:p>
    <w:p w14:paraId="78C4CA5B">
      <w:pPr>
        <w:spacing w:line="480" w:lineRule="exact"/>
        <w:ind w:left="1477" w:leftChars="266" w:hanging="918" w:hangingChars="328"/>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（二）液压系统：液压站油泵、溢流阀、换向阀等工作必须正常；液压缸不能有漏油现象出现。</w:t>
      </w:r>
    </w:p>
    <w:p w14:paraId="08A4C09A">
      <w:pPr>
        <w:spacing w:line="480" w:lineRule="exact"/>
        <w:ind w:left="1477" w:leftChars="266" w:hanging="918" w:hangingChars="328"/>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（三）减速机不得出现漏油现象，轴承磨损和齿轮啮合必须正常平稳运行。</w:t>
      </w:r>
    </w:p>
    <w:p w14:paraId="51E860AC">
      <w:pPr>
        <w:spacing w:line="480" w:lineRule="exact"/>
        <w:ind w:left="1477" w:leftChars="266" w:hanging="918" w:hangingChars="328"/>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（四）轴承润滑系统各润滑点不能有渗漏堵塞情况存在。</w:t>
      </w:r>
    </w:p>
    <w:p w14:paraId="689B1B63">
      <w:pPr>
        <w:spacing w:line="480" w:lineRule="exact"/>
        <w:rPr>
          <w:rFonts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三、选粉机</w:t>
      </w:r>
    </w:p>
    <w:p w14:paraId="1BDAC5DE">
      <w:pPr>
        <w:spacing w:line="480" w:lineRule="exact"/>
        <w:ind w:left="1477" w:leftChars="266" w:hanging="918" w:hangingChars="328"/>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（一）立轴下部油封不得存在漏油现象。</w:t>
      </w:r>
    </w:p>
    <w:p w14:paraId="0D401436">
      <w:pPr>
        <w:spacing w:line="480" w:lineRule="exact"/>
        <w:ind w:left="1477" w:leftChars="266" w:hanging="918" w:hangingChars="328"/>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（二）减速机运行必须平稳。各水冷系统、润滑系统不能有渗漏和堵塞情况存在。</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ont-weight : 400">
    <w:altName w:val="Times New Roman"/>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54C179">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6205" cy="139700"/>
              <wp:effectExtent l="0" t="0" r="17145" b="12700"/>
              <wp:wrapNone/>
              <wp:docPr id="1" name="文本框 1025"/>
              <wp:cNvGraphicFramePr/>
              <a:graphic xmlns:a="http://schemas.openxmlformats.org/drawingml/2006/main">
                <a:graphicData uri="http://schemas.microsoft.com/office/word/2010/wordprocessingShape">
                  <wps:wsp>
                    <wps:cNvSpPr txBox="1"/>
                    <wps:spPr>
                      <a:xfrm>
                        <a:off x="0" y="0"/>
                        <a:ext cx="116205" cy="139700"/>
                      </a:xfrm>
                      <a:prstGeom prst="rect">
                        <a:avLst/>
                      </a:prstGeom>
                      <a:noFill/>
                      <a:ln>
                        <a:noFill/>
                      </a:ln>
                    </wps:spPr>
                    <wps:txbx>
                      <w:txbxContent>
                        <w:p w14:paraId="54147057">
                          <w:pPr>
                            <w:snapToGrid w:val="0"/>
                            <w:rPr>
                              <w:sz w:val="18"/>
                            </w:rPr>
                          </w:pPr>
                          <w:r>
                            <w:fldChar w:fldCharType="begin"/>
                          </w:r>
                          <w:r>
                            <w:instrText xml:space="preserve"> PAGE  \* MERGEFORMAT </w:instrText>
                          </w:r>
                          <w:r>
                            <w:fldChar w:fldCharType="separate"/>
                          </w:r>
                          <w:r>
                            <w:rPr>
                              <w:sz w:val="18"/>
                            </w:rPr>
                            <w:t>9</w:t>
                          </w:r>
                          <w:r>
                            <w:rPr>
                              <w:sz w:val="18"/>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1pt;width:9.15pt;mso-position-horizontal:center;mso-position-horizontal-relative:margin;mso-wrap-style:none;z-index:251659264;mso-width-relative:page;mso-height-relative:page;" filled="f" stroked="f" coordsize="21600,21600" o:gfxdata="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GLpYU0AAAAAMBAAAPAAAAAAAAAAEAIAAAACIAAABkcnMvZG93&#10;bnJldi54bWxQSwECFAAUAAAACACHTuJA8kZduc8BAACaAwAADgAAAAAAAAABACAAAAAfAQAAZHJz&#10;L2Uyb0RvYy54bWxQSwUGAAAAAAYABgBZAQAAYAUAAAAA&#10;">
              <v:fill on="f" focussize="0,0"/>
              <v:stroke on="f"/>
              <v:imagedata o:title=""/>
              <o:lock v:ext="edit" aspectratio="f"/>
              <v:textbox inset="0mm,0mm,0mm,0mm" style="mso-fit-shape-to-text:t;">
                <w:txbxContent>
                  <w:p w14:paraId="54147057">
                    <w:pPr>
                      <w:snapToGrid w:val="0"/>
                      <w:rPr>
                        <w:sz w:val="18"/>
                      </w:rPr>
                    </w:pPr>
                    <w:r>
                      <w:fldChar w:fldCharType="begin"/>
                    </w:r>
                    <w:r>
                      <w:instrText xml:space="preserve"> PAGE  \* MERGEFORMAT </w:instrText>
                    </w:r>
                    <w:r>
                      <w:fldChar w:fldCharType="separate"/>
                    </w:r>
                    <w:r>
                      <w:rPr>
                        <w:sz w:val="18"/>
                      </w:rPr>
                      <w:t>9</w:t>
                    </w:r>
                    <w:r>
                      <w:rPr>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451854"/>
    <w:multiLevelType w:val="multilevel"/>
    <w:tmpl w:val="3A451854"/>
    <w:lvl w:ilvl="0" w:tentative="0">
      <w:start w:val="1"/>
      <w:numFmt w:val="chineseCountingThousand"/>
      <w:lvlText w:val="第%1章 "/>
      <w:lvlJc w:val="left"/>
      <w:pPr>
        <w:tabs>
          <w:tab w:val="left" w:pos="4063"/>
        </w:tabs>
        <w:ind w:left="3638"/>
      </w:pPr>
      <w:rPr>
        <w:rFonts w:hint="eastAsia" w:ascii="宋体" w:eastAsia="宋体" w:cs="Times New Roman"/>
        <w:b/>
        <w:i w:val="0"/>
        <w:sz w:val="32"/>
        <w:szCs w:val="32"/>
      </w:rPr>
    </w:lvl>
    <w:lvl w:ilvl="1" w:tentative="0">
      <w:start w:val="1"/>
      <w:numFmt w:val="decimal"/>
      <w:lvlText w:val="第%2节"/>
      <w:lvlJc w:val="left"/>
      <w:pPr>
        <w:tabs>
          <w:tab w:val="left" w:pos="992"/>
        </w:tabs>
      </w:pPr>
      <w:rPr>
        <w:rFonts w:hint="eastAsia" w:ascii="宋体" w:eastAsia="宋体" w:cs="Times New Roman"/>
        <w:b/>
        <w:i w:val="0"/>
        <w:sz w:val="30"/>
        <w:szCs w:val="30"/>
      </w:rPr>
    </w:lvl>
    <w:lvl w:ilvl="2" w:tentative="0">
      <w:start w:val="1"/>
      <w:numFmt w:val="decimal"/>
      <w:lvlText w:val="%3."/>
      <w:lvlJc w:val="left"/>
      <w:pPr>
        <w:tabs>
          <w:tab w:val="left" w:pos="420"/>
        </w:tabs>
        <w:ind w:left="420" w:hanging="420"/>
      </w:pPr>
      <w:rPr>
        <w:rFonts w:hint="eastAsia" w:cs="Times New Roman"/>
        <w:b/>
        <w:i w:val="0"/>
        <w:sz w:val="32"/>
        <w:szCs w:val="32"/>
      </w:rPr>
    </w:lvl>
    <w:lvl w:ilvl="3" w:tentative="0">
      <w:start w:val="1"/>
      <w:numFmt w:val="decimal"/>
      <w:pStyle w:val="13"/>
      <w:lvlText w:val="%3.%4"/>
      <w:lvlJc w:val="left"/>
      <w:pPr>
        <w:tabs>
          <w:tab w:val="left" w:pos="844"/>
        </w:tabs>
        <w:ind w:left="107"/>
      </w:pPr>
      <w:rPr>
        <w:rFonts w:hint="eastAsia" w:ascii="宋体" w:eastAsia="宋体" w:cs="Times New Roman"/>
        <w:b/>
        <w:i w:val="0"/>
        <w:sz w:val="24"/>
        <w:szCs w:val="24"/>
      </w:rPr>
    </w:lvl>
    <w:lvl w:ilvl="4" w:tentative="0">
      <w:start w:val="1"/>
      <w:numFmt w:val="decimal"/>
      <w:lvlText w:val="%3.%4.%5"/>
      <w:lvlJc w:val="left"/>
      <w:pPr>
        <w:tabs>
          <w:tab w:val="left" w:pos="907"/>
        </w:tabs>
      </w:pPr>
      <w:rPr>
        <w:rFonts w:hint="eastAsia" w:ascii="宋体" w:eastAsia="宋体" w:cs="Times New Roman"/>
        <w:b w:val="0"/>
        <w:i w:val="0"/>
        <w:sz w:val="24"/>
        <w:szCs w:val="24"/>
      </w:rPr>
    </w:lvl>
    <w:lvl w:ilvl="5" w:tentative="0">
      <w:start w:val="1"/>
      <w:numFmt w:val="decimal"/>
      <w:lvlText w:val="%3.%4.%5.%6"/>
      <w:lvlJc w:val="left"/>
      <w:pPr>
        <w:tabs>
          <w:tab w:val="left" w:pos="1021"/>
        </w:tabs>
      </w:pPr>
      <w:rPr>
        <w:rFonts w:hint="eastAsia" w:ascii="宋体" w:eastAsia="宋体" w:cs="Times New Roman"/>
        <w:b w:val="0"/>
        <w:i w:val="0"/>
        <w:sz w:val="24"/>
        <w:szCs w:val="24"/>
      </w:rPr>
    </w:lvl>
    <w:lvl w:ilvl="6" w:tentative="0">
      <w:start w:val="1"/>
      <w:numFmt w:val="decimal"/>
      <w:lvlText w:val="%1.%2.%3.%4.%5.%6.%7"/>
      <w:lvlJc w:val="left"/>
      <w:pPr>
        <w:tabs>
          <w:tab w:val="left" w:pos="3827"/>
        </w:tabs>
        <w:ind w:left="3827" w:hanging="1276"/>
      </w:pPr>
      <w:rPr>
        <w:rFonts w:hint="eastAsia" w:cs="Times New Roman"/>
      </w:rPr>
    </w:lvl>
    <w:lvl w:ilvl="7" w:tentative="0">
      <w:start w:val="1"/>
      <w:numFmt w:val="decimal"/>
      <w:lvlText w:val="%1.%2.%3.%4.%5.%6.%7.%8"/>
      <w:lvlJc w:val="left"/>
      <w:pPr>
        <w:tabs>
          <w:tab w:val="left" w:pos="4394"/>
        </w:tabs>
        <w:ind w:left="4394" w:hanging="1418"/>
      </w:pPr>
      <w:rPr>
        <w:rFonts w:hint="eastAsia" w:cs="Times New Roman"/>
      </w:rPr>
    </w:lvl>
    <w:lvl w:ilvl="8" w:tentative="0">
      <w:start w:val="1"/>
      <w:numFmt w:val="decimal"/>
      <w:lvlText w:val="%1.%2.%3.%4.%5.%6.%7.%8.%9"/>
      <w:lvlJc w:val="left"/>
      <w:pPr>
        <w:tabs>
          <w:tab w:val="left" w:pos="5102"/>
        </w:tabs>
        <w:ind w:left="5102" w:hanging="1700"/>
      </w:pPr>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FFB1BE3"/>
    <w:rsid w:val="00000C88"/>
    <w:rsid w:val="000317A5"/>
    <w:rsid w:val="0003250D"/>
    <w:rsid w:val="000349E2"/>
    <w:rsid w:val="000414C3"/>
    <w:rsid w:val="000419BB"/>
    <w:rsid w:val="00081410"/>
    <w:rsid w:val="00081A6F"/>
    <w:rsid w:val="000B08B6"/>
    <w:rsid w:val="000B0C46"/>
    <w:rsid w:val="000C2A26"/>
    <w:rsid w:val="000F67B0"/>
    <w:rsid w:val="0010230E"/>
    <w:rsid w:val="0011114B"/>
    <w:rsid w:val="001267BB"/>
    <w:rsid w:val="00151FA4"/>
    <w:rsid w:val="00157C3D"/>
    <w:rsid w:val="00163AE1"/>
    <w:rsid w:val="00164412"/>
    <w:rsid w:val="00164814"/>
    <w:rsid w:val="00171765"/>
    <w:rsid w:val="00180F58"/>
    <w:rsid w:val="001A750B"/>
    <w:rsid w:val="001E242F"/>
    <w:rsid w:val="001F0E64"/>
    <w:rsid w:val="001F431E"/>
    <w:rsid w:val="00200EB7"/>
    <w:rsid w:val="0021022A"/>
    <w:rsid w:val="00214204"/>
    <w:rsid w:val="002168B0"/>
    <w:rsid w:val="00225F0C"/>
    <w:rsid w:val="0022675F"/>
    <w:rsid w:val="002402DB"/>
    <w:rsid w:val="0024757D"/>
    <w:rsid w:val="00260729"/>
    <w:rsid w:val="00261DE1"/>
    <w:rsid w:val="002666ED"/>
    <w:rsid w:val="0026777E"/>
    <w:rsid w:val="00274144"/>
    <w:rsid w:val="002821C0"/>
    <w:rsid w:val="002862AF"/>
    <w:rsid w:val="00293BD1"/>
    <w:rsid w:val="00293F9F"/>
    <w:rsid w:val="002B5AF8"/>
    <w:rsid w:val="002C0F3E"/>
    <w:rsid w:val="002C4CC3"/>
    <w:rsid w:val="002D15F9"/>
    <w:rsid w:val="002F4A20"/>
    <w:rsid w:val="002F5528"/>
    <w:rsid w:val="0030463C"/>
    <w:rsid w:val="0030776B"/>
    <w:rsid w:val="00320193"/>
    <w:rsid w:val="00324FD0"/>
    <w:rsid w:val="00325417"/>
    <w:rsid w:val="003366E8"/>
    <w:rsid w:val="003500FA"/>
    <w:rsid w:val="003552CA"/>
    <w:rsid w:val="00362479"/>
    <w:rsid w:val="00380B5F"/>
    <w:rsid w:val="003937EE"/>
    <w:rsid w:val="003A4514"/>
    <w:rsid w:val="003A4AC0"/>
    <w:rsid w:val="003B653C"/>
    <w:rsid w:val="003C0E23"/>
    <w:rsid w:val="003C2AA5"/>
    <w:rsid w:val="003C60A9"/>
    <w:rsid w:val="003C7C0D"/>
    <w:rsid w:val="003D1310"/>
    <w:rsid w:val="003D1521"/>
    <w:rsid w:val="003D48A4"/>
    <w:rsid w:val="003D567F"/>
    <w:rsid w:val="003D7B6C"/>
    <w:rsid w:val="00400CB1"/>
    <w:rsid w:val="00403902"/>
    <w:rsid w:val="00443731"/>
    <w:rsid w:val="00462178"/>
    <w:rsid w:val="00470763"/>
    <w:rsid w:val="0047604E"/>
    <w:rsid w:val="004839E0"/>
    <w:rsid w:val="00493E81"/>
    <w:rsid w:val="00496A35"/>
    <w:rsid w:val="004A5277"/>
    <w:rsid w:val="004C0847"/>
    <w:rsid w:val="004C21E1"/>
    <w:rsid w:val="004C6F32"/>
    <w:rsid w:val="004D52F1"/>
    <w:rsid w:val="004D6BA7"/>
    <w:rsid w:val="004E1809"/>
    <w:rsid w:val="004E38B8"/>
    <w:rsid w:val="004E4A25"/>
    <w:rsid w:val="004F133B"/>
    <w:rsid w:val="004F73D4"/>
    <w:rsid w:val="00502AF9"/>
    <w:rsid w:val="0050586B"/>
    <w:rsid w:val="00506C58"/>
    <w:rsid w:val="00520930"/>
    <w:rsid w:val="00521F29"/>
    <w:rsid w:val="005528E7"/>
    <w:rsid w:val="005A4CE0"/>
    <w:rsid w:val="005A616B"/>
    <w:rsid w:val="005B0638"/>
    <w:rsid w:val="005B3809"/>
    <w:rsid w:val="005B44BD"/>
    <w:rsid w:val="005D24F4"/>
    <w:rsid w:val="005D405E"/>
    <w:rsid w:val="005D4194"/>
    <w:rsid w:val="00601C42"/>
    <w:rsid w:val="00647ADE"/>
    <w:rsid w:val="00653B59"/>
    <w:rsid w:val="00670053"/>
    <w:rsid w:val="00677B8E"/>
    <w:rsid w:val="00690D8C"/>
    <w:rsid w:val="006A2399"/>
    <w:rsid w:val="006A7B35"/>
    <w:rsid w:val="006B08D6"/>
    <w:rsid w:val="006B37AE"/>
    <w:rsid w:val="006E009B"/>
    <w:rsid w:val="006E555F"/>
    <w:rsid w:val="006F28CB"/>
    <w:rsid w:val="00722F3F"/>
    <w:rsid w:val="0072403C"/>
    <w:rsid w:val="00727F09"/>
    <w:rsid w:val="0075692C"/>
    <w:rsid w:val="00762D7E"/>
    <w:rsid w:val="007660E5"/>
    <w:rsid w:val="007664FC"/>
    <w:rsid w:val="007673B7"/>
    <w:rsid w:val="007A1A37"/>
    <w:rsid w:val="007A5248"/>
    <w:rsid w:val="007B519B"/>
    <w:rsid w:val="007D58F6"/>
    <w:rsid w:val="007E547E"/>
    <w:rsid w:val="007E7A9A"/>
    <w:rsid w:val="007F2046"/>
    <w:rsid w:val="007F4A72"/>
    <w:rsid w:val="0080560E"/>
    <w:rsid w:val="00807A14"/>
    <w:rsid w:val="00831B90"/>
    <w:rsid w:val="00833D38"/>
    <w:rsid w:val="00847384"/>
    <w:rsid w:val="00862479"/>
    <w:rsid w:val="008749A8"/>
    <w:rsid w:val="00880529"/>
    <w:rsid w:val="00891E8E"/>
    <w:rsid w:val="008A12A7"/>
    <w:rsid w:val="008A524C"/>
    <w:rsid w:val="008B10BB"/>
    <w:rsid w:val="008B21A3"/>
    <w:rsid w:val="008B603D"/>
    <w:rsid w:val="008E4491"/>
    <w:rsid w:val="008E5E11"/>
    <w:rsid w:val="00935732"/>
    <w:rsid w:val="00936C18"/>
    <w:rsid w:val="00940889"/>
    <w:rsid w:val="00951B20"/>
    <w:rsid w:val="00970042"/>
    <w:rsid w:val="0099303A"/>
    <w:rsid w:val="009B546B"/>
    <w:rsid w:val="009C207D"/>
    <w:rsid w:val="009E3AF3"/>
    <w:rsid w:val="009E61E8"/>
    <w:rsid w:val="009F004B"/>
    <w:rsid w:val="009F4144"/>
    <w:rsid w:val="00A01E5A"/>
    <w:rsid w:val="00A05895"/>
    <w:rsid w:val="00A17CA9"/>
    <w:rsid w:val="00A42374"/>
    <w:rsid w:val="00A52E02"/>
    <w:rsid w:val="00A53080"/>
    <w:rsid w:val="00A65B24"/>
    <w:rsid w:val="00A9242D"/>
    <w:rsid w:val="00AA35E4"/>
    <w:rsid w:val="00AB59F2"/>
    <w:rsid w:val="00AE126F"/>
    <w:rsid w:val="00AE2ADA"/>
    <w:rsid w:val="00AE7883"/>
    <w:rsid w:val="00B315FB"/>
    <w:rsid w:val="00B320B2"/>
    <w:rsid w:val="00B33F1D"/>
    <w:rsid w:val="00B50715"/>
    <w:rsid w:val="00B51E3E"/>
    <w:rsid w:val="00B56AD8"/>
    <w:rsid w:val="00B646B5"/>
    <w:rsid w:val="00B64D5F"/>
    <w:rsid w:val="00B70DBD"/>
    <w:rsid w:val="00B70FCC"/>
    <w:rsid w:val="00B7265D"/>
    <w:rsid w:val="00B73D60"/>
    <w:rsid w:val="00B845FE"/>
    <w:rsid w:val="00B90CA6"/>
    <w:rsid w:val="00B97290"/>
    <w:rsid w:val="00BA0AE3"/>
    <w:rsid w:val="00BA0B2E"/>
    <w:rsid w:val="00BA1ACA"/>
    <w:rsid w:val="00BB2C3F"/>
    <w:rsid w:val="00BD6F61"/>
    <w:rsid w:val="00BE477F"/>
    <w:rsid w:val="00BF2774"/>
    <w:rsid w:val="00C1448C"/>
    <w:rsid w:val="00C14DEC"/>
    <w:rsid w:val="00C254C3"/>
    <w:rsid w:val="00C270C2"/>
    <w:rsid w:val="00C2778F"/>
    <w:rsid w:val="00C36764"/>
    <w:rsid w:val="00C43D6D"/>
    <w:rsid w:val="00C5061D"/>
    <w:rsid w:val="00C57094"/>
    <w:rsid w:val="00C64CFF"/>
    <w:rsid w:val="00C70AE9"/>
    <w:rsid w:val="00C71E8D"/>
    <w:rsid w:val="00C75577"/>
    <w:rsid w:val="00C76054"/>
    <w:rsid w:val="00C95101"/>
    <w:rsid w:val="00CA306E"/>
    <w:rsid w:val="00CC19AA"/>
    <w:rsid w:val="00CC5F46"/>
    <w:rsid w:val="00CD2679"/>
    <w:rsid w:val="00CE5E7C"/>
    <w:rsid w:val="00CE737E"/>
    <w:rsid w:val="00CF5D58"/>
    <w:rsid w:val="00D06050"/>
    <w:rsid w:val="00D137DE"/>
    <w:rsid w:val="00D3431C"/>
    <w:rsid w:val="00D353DD"/>
    <w:rsid w:val="00D45A23"/>
    <w:rsid w:val="00D47B54"/>
    <w:rsid w:val="00D60FAF"/>
    <w:rsid w:val="00D935AD"/>
    <w:rsid w:val="00D97F8F"/>
    <w:rsid w:val="00DA3833"/>
    <w:rsid w:val="00DA53F6"/>
    <w:rsid w:val="00DA60CB"/>
    <w:rsid w:val="00DB7C25"/>
    <w:rsid w:val="00DC3488"/>
    <w:rsid w:val="00DC51C3"/>
    <w:rsid w:val="00DE0AC9"/>
    <w:rsid w:val="00DE4DDF"/>
    <w:rsid w:val="00DF0C4F"/>
    <w:rsid w:val="00E06DD7"/>
    <w:rsid w:val="00E11A46"/>
    <w:rsid w:val="00E279CF"/>
    <w:rsid w:val="00E34725"/>
    <w:rsid w:val="00E3710E"/>
    <w:rsid w:val="00E52B69"/>
    <w:rsid w:val="00E712A0"/>
    <w:rsid w:val="00E831B2"/>
    <w:rsid w:val="00E8548F"/>
    <w:rsid w:val="00E85570"/>
    <w:rsid w:val="00E95995"/>
    <w:rsid w:val="00E971A1"/>
    <w:rsid w:val="00EA2538"/>
    <w:rsid w:val="00EA5FAA"/>
    <w:rsid w:val="00EC2E37"/>
    <w:rsid w:val="00F0685E"/>
    <w:rsid w:val="00F163CF"/>
    <w:rsid w:val="00F21EF9"/>
    <w:rsid w:val="00F306E5"/>
    <w:rsid w:val="00F35455"/>
    <w:rsid w:val="00F40EF7"/>
    <w:rsid w:val="00F463E3"/>
    <w:rsid w:val="00F74800"/>
    <w:rsid w:val="00F82FFD"/>
    <w:rsid w:val="00F90DAC"/>
    <w:rsid w:val="00FB3E80"/>
    <w:rsid w:val="00FB6604"/>
    <w:rsid w:val="00FC2AF7"/>
    <w:rsid w:val="00FC5E34"/>
    <w:rsid w:val="00FD591E"/>
    <w:rsid w:val="00FD6221"/>
    <w:rsid w:val="00FE5F60"/>
    <w:rsid w:val="00FF3B0C"/>
    <w:rsid w:val="00FF6F22"/>
    <w:rsid w:val="00FF7DC7"/>
    <w:rsid w:val="01371525"/>
    <w:rsid w:val="024A5C5A"/>
    <w:rsid w:val="047361BC"/>
    <w:rsid w:val="04A5651F"/>
    <w:rsid w:val="05CD1C2A"/>
    <w:rsid w:val="06D71A19"/>
    <w:rsid w:val="0BBB3DDB"/>
    <w:rsid w:val="0C0719D5"/>
    <w:rsid w:val="0FFB1BE3"/>
    <w:rsid w:val="104C5380"/>
    <w:rsid w:val="10D1794C"/>
    <w:rsid w:val="123029BC"/>
    <w:rsid w:val="12AA0A7C"/>
    <w:rsid w:val="140E393E"/>
    <w:rsid w:val="1497412F"/>
    <w:rsid w:val="1522724D"/>
    <w:rsid w:val="15B55D48"/>
    <w:rsid w:val="167E54BE"/>
    <w:rsid w:val="1A61336A"/>
    <w:rsid w:val="1B0E3793"/>
    <w:rsid w:val="1B6A5812"/>
    <w:rsid w:val="1BB43C9B"/>
    <w:rsid w:val="1BB53EBA"/>
    <w:rsid w:val="1BD821BF"/>
    <w:rsid w:val="1E162569"/>
    <w:rsid w:val="1E2948E6"/>
    <w:rsid w:val="1EC8007E"/>
    <w:rsid w:val="235E1B81"/>
    <w:rsid w:val="280B6234"/>
    <w:rsid w:val="283A1903"/>
    <w:rsid w:val="28493AA6"/>
    <w:rsid w:val="29E03A2B"/>
    <w:rsid w:val="2C187555"/>
    <w:rsid w:val="2D8647E3"/>
    <w:rsid w:val="34D715BE"/>
    <w:rsid w:val="38F84314"/>
    <w:rsid w:val="39122585"/>
    <w:rsid w:val="398839CA"/>
    <w:rsid w:val="39CB5B02"/>
    <w:rsid w:val="3A3E008B"/>
    <w:rsid w:val="3DD26718"/>
    <w:rsid w:val="3E136658"/>
    <w:rsid w:val="3E7826D2"/>
    <w:rsid w:val="3FF545B2"/>
    <w:rsid w:val="44C615A3"/>
    <w:rsid w:val="45417569"/>
    <w:rsid w:val="45464C32"/>
    <w:rsid w:val="45EE1C6A"/>
    <w:rsid w:val="461A3B1B"/>
    <w:rsid w:val="47D9573C"/>
    <w:rsid w:val="48FC21D7"/>
    <w:rsid w:val="49AD702E"/>
    <w:rsid w:val="4A5F6E80"/>
    <w:rsid w:val="4DCB2178"/>
    <w:rsid w:val="4E4B2174"/>
    <w:rsid w:val="4E8C18D4"/>
    <w:rsid w:val="514858EA"/>
    <w:rsid w:val="516715AA"/>
    <w:rsid w:val="538057B3"/>
    <w:rsid w:val="570F039C"/>
    <w:rsid w:val="58A94D8C"/>
    <w:rsid w:val="5962291D"/>
    <w:rsid w:val="5B7F4A38"/>
    <w:rsid w:val="5C190202"/>
    <w:rsid w:val="5E2C32A6"/>
    <w:rsid w:val="5F0A4517"/>
    <w:rsid w:val="60B21F9E"/>
    <w:rsid w:val="6167238A"/>
    <w:rsid w:val="61B34EFB"/>
    <w:rsid w:val="62105334"/>
    <w:rsid w:val="62FD59FC"/>
    <w:rsid w:val="65E816C2"/>
    <w:rsid w:val="67204F5F"/>
    <w:rsid w:val="67897713"/>
    <w:rsid w:val="69BB6681"/>
    <w:rsid w:val="6B511FC1"/>
    <w:rsid w:val="6C477A0A"/>
    <w:rsid w:val="6C9005AF"/>
    <w:rsid w:val="6CFD4C4C"/>
    <w:rsid w:val="6D9E2205"/>
    <w:rsid w:val="6FC55082"/>
    <w:rsid w:val="73CB1683"/>
    <w:rsid w:val="754C0333"/>
    <w:rsid w:val="761F01EE"/>
    <w:rsid w:val="777D7185"/>
    <w:rsid w:val="78DE4187"/>
    <w:rsid w:val="79A11E5C"/>
    <w:rsid w:val="79BE4A87"/>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link w:val="9"/>
    <w:qFormat/>
    <w:uiPriority w:val="99"/>
    <w:pPr>
      <w:keepNext/>
      <w:keepLines/>
      <w:spacing w:line="578" w:lineRule="auto"/>
      <w:outlineLvl w:val="0"/>
    </w:pPr>
    <w:rPr>
      <w:b/>
      <w:bCs/>
      <w:kern w:val="44"/>
      <w:sz w:val="44"/>
      <w:szCs w:val="44"/>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5"/>
    <w:qFormat/>
    <w:uiPriority w:val="99"/>
    <w:pPr>
      <w:ind w:left="100" w:leftChars="2500"/>
    </w:pPr>
  </w:style>
  <w:style w:type="paragraph" w:styleId="4">
    <w:name w:val="Balloon Text"/>
    <w:basedOn w:val="1"/>
    <w:link w:val="14"/>
    <w:qFormat/>
    <w:uiPriority w:val="99"/>
    <w:rPr>
      <w:sz w:val="18"/>
      <w:szCs w:val="18"/>
    </w:rPr>
  </w:style>
  <w:style w:type="paragraph" w:styleId="5">
    <w:name w:val="footer"/>
    <w:basedOn w:val="1"/>
    <w:link w:val="10"/>
    <w:qFormat/>
    <w:uiPriority w:val="99"/>
    <w:pPr>
      <w:tabs>
        <w:tab w:val="center" w:pos="4153"/>
        <w:tab w:val="right" w:pos="8306"/>
      </w:tabs>
      <w:snapToGrid w:val="0"/>
      <w:jc w:val="left"/>
    </w:pPr>
    <w:rPr>
      <w:sz w:val="18"/>
    </w:rPr>
  </w:style>
  <w:style w:type="paragraph" w:styleId="6">
    <w:name w:val="header"/>
    <w:basedOn w:val="1"/>
    <w:link w:val="1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9">
    <w:name w:val="标题 1 Char"/>
    <w:basedOn w:val="8"/>
    <w:link w:val="2"/>
    <w:qFormat/>
    <w:uiPriority w:val="9"/>
    <w:rPr>
      <w:rFonts w:ascii="Calibri" w:hAnsi="Calibri" w:cs="黑体"/>
      <w:b/>
      <w:bCs/>
      <w:kern w:val="44"/>
      <w:sz w:val="44"/>
      <w:szCs w:val="44"/>
    </w:rPr>
  </w:style>
  <w:style w:type="character" w:customStyle="1" w:styleId="10">
    <w:name w:val="页脚 Char"/>
    <w:basedOn w:val="8"/>
    <w:link w:val="5"/>
    <w:semiHidden/>
    <w:qFormat/>
    <w:uiPriority w:val="99"/>
    <w:rPr>
      <w:rFonts w:ascii="Calibri" w:hAnsi="Calibri" w:cs="黑体"/>
      <w:sz w:val="18"/>
      <w:szCs w:val="18"/>
    </w:rPr>
  </w:style>
  <w:style w:type="character" w:customStyle="1" w:styleId="11">
    <w:name w:val="页眉 Char"/>
    <w:basedOn w:val="8"/>
    <w:link w:val="6"/>
    <w:semiHidden/>
    <w:qFormat/>
    <w:uiPriority w:val="99"/>
    <w:rPr>
      <w:rFonts w:ascii="Calibri" w:hAnsi="Calibri" w:cs="黑体"/>
      <w:sz w:val="18"/>
      <w:szCs w:val="18"/>
    </w:rPr>
  </w:style>
  <w:style w:type="paragraph" w:customStyle="1" w:styleId="12">
    <w:name w:val="_Style 3"/>
    <w:basedOn w:val="1"/>
    <w:qFormat/>
    <w:uiPriority w:val="99"/>
    <w:pPr>
      <w:ind w:firstLine="200" w:firstLineChars="200"/>
    </w:pPr>
    <w:rPr>
      <w:rFonts w:cs="宋体"/>
      <w:szCs w:val="22"/>
    </w:rPr>
  </w:style>
  <w:style w:type="paragraph" w:customStyle="1" w:styleId="13">
    <w:name w:val="大纲4"/>
    <w:basedOn w:val="1"/>
    <w:qFormat/>
    <w:uiPriority w:val="99"/>
    <w:pPr>
      <w:numPr>
        <w:ilvl w:val="3"/>
        <w:numId w:val="1"/>
      </w:numPr>
      <w:tabs>
        <w:tab w:val="left" w:pos="4063"/>
      </w:tabs>
      <w:adjustRightInd w:val="0"/>
      <w:spacing w:line="360" w:lineRule="auto"/>
      <w:textAlignment w:val="baseline"/>
      <w:outlineLvl w:val="3"/>
    </w:pPr>
    <w:rPr>
      <w:b/>
      <w:sz w:val="24"/>
    </w:rPr>
  </w:style>
  <w:style w:type="character" w:customStyle="1" w:styleId="14">
    <w:name w:val="批注框文本 Char"/>
    <w:basedOn w:val="8"/>
    <w:link w:val="4"/>
    <w:qFormat/>
    <w:locked/>
    <w:uiPriority w:val="99"/>
    <w:rPr>
      <w:rFonts w:ascii="Calibri" w:hAnsi="Calibri" w:cs="黑体"/>
      <w:kern w:val="2"/>
      <w:sz w:val="18"/>
      <w:szCs w:val="18"/>
    </w:rPr>
  </w:style>
  <w:style w:type="character" w:customStyle="1" w:styleId="15">
    <w:name w:val="日期 Char"/>
    <w:basedOn w:val="8"/>
    <w:link w:val="3"/>
    <w:qFormat/>
    <w:locked/>
    <w:uiPriority w:val="99"/>
    <w:rPr>
      <w:rFonts w:ascii="Calibri" w:hAnsi="Calibri" w:cs="黑体"/>
      <w:kern w:val="2"/>
      <w:sz w:val="24"/>
      <w:szCs w:val="24"/>
    </w:rPr>
  </w:style>
  <w:style w:type="paragraph" w:styleId="16">
    <w:name w:val="List Paragraph"/>
    <w:basedOn w:val="1"/>
    <w:qFormat/>
    <w:uiPriority w:val="34"/>
    <w:pPr>
      <w:ind w:firstLine="420" w:firstLineChars="200"/>
    </w:pPr>
    <w:rPr>
      <w:rFonts w:cs="Times New Roman"/>
      <w:szCs w:val="22"/>
    </w:rPr>
  </w:style>
  <w:style w:type="character" w:customStyle="1" w:styleId="17">
    <w:name w:val="font21"/>
    <w:basedOn w:val="8"/>
    <w:qFormat/>
    <w:uiPriority w:val="0"/>
    <w:rPr>
      <w:rFonts w:ascii="font-weight : 400" w:hAnsi="font-weight : 400" w:eastAsia="font-weight : 400" w:cs="font-weight : 400"/>
      <w:color w:val="000000"/>
      <w:sz w:val="24"/>
      <w:szCs w:val="24"/>
      <w:u w:val="none"/>
    </w:rPr>
  </w:style>
  <w:style w:type="character" w:customStyle="1" w:styleId="18">
    <w:name w:val="font31"/>
    <w:basedOn w:val="8"/>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雨林木风</Company>
  <Pages>24</Pages>
  <Words>12739</Words>
  <Characters>13045</Characters>
  <Lines>101</Lines>
  <Paragraphs>28</Paragraphs>
  <TotalTime>4</TotalTime>
  <ScaleCrop>false</ScaleCrop>
  <LinksUpToDate>false</LinksUpToDate>
  <CharactersWithSpaces>13279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2025-10-20T02:55:00Z</dcterms:created>
  <dc:creator>Administrator</dc:creator>
  <cp:lastModifiedBy>李垚</cp:lastModifiedBy>
  <cp:lastPrinted>2016-11-01T06:04:00Z</cp:lastPrinted>
  <dcterms:modified xsi:type="dcterms:W3CDTF">2025-10-20T03:32:22Z</dcterms:modified>
  <dc:title>生产承包及技术服务合同</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eyJoZGlkIjoiOWJiZTUzMWVhOTU0NDhkYjI1Nzg1MGZkMzAwNzNjMGIiLCJ1c2VySWQiOiIxNjgyODg2ODQ3In0=</vt:lpwstr>
  </property>
  <property fmtid="{D5CDD505-2E9C-101B-9397-08002B2CF9AE}" pid="4" name="ICV">
    <vt:lpwstr>DC64AC804F254F5D893196E7976EADCF_13</vt:lpwstr>
  </property>
</Properties>
</file>